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РС-10817-2-19-044</w:t>
      </w:r>
      <w:r w:rsidDel="00000000" w:rsidR="00000000" w:rsidRPr="00000000">
        <w:rPr>
          <w:rtl w:val="0"/>
        </w:rPr>
      </w:r>
    </w:p>
    <w:p w:rsidR="00000000" w:rsidDel="00000000" w:rsidP="00000000" w:rsidRDefault="00000000" w:rsidRPr="00000000" w14:paraId="00000003">
      <w:pPr>
        <w:spacing w:after="240" w:line="276" w:lineRule="auto"/>
        <w:ind w:left="426" w:firstLine="567.0000000000001"/>
        <w:jc w:val="both"/>
        <w:rPr>
          <w:u w:val="single"/>
          <w:vertAlign w:val="baseline"/>
        </w:rPr>
      </w:pPr>
      <w:r w:rsidDel="00000000" w:rsidR="00000000" w:rsidRPr="00000000">
        <w:rPr>
          <w:vertAlign w:val="baseline"/>
          <w:rtl w:val="0"/>
        </w:rPr>
        <w:t xml:space="preserve">Днес, 17.07.2019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left="273"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left="273" w:firstLine="720"/>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left="273" w:firstLine="720"/>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Производството е образувано с рег. № ЦУ 01/10817-2/23.04.2019г. на основание чл.47, ал.2 от ЗПКОНПИ, въз основа на докладна записка от ръководител звено „Връзки с обществеността“ при КПКОНПИ, с приложени към нея медийни публикации.</w:t>
      </w:r>
    </w:p>
    <w:p w:rsidR="00000000" w:rsidDel="00000000" w:rsidP="00000000" w:rsidRDefault="00000000" w:rsidRPr="00000000" w14:paraId="00000009">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Сигналът е против Гергана Найденова Мутафова – член на Висшия съдебен съвет /ВСС/.</w:t>
      </w:r>
    </w:p>
    <w:p w:rsidR="00000000" w:rsidDel="00000000" w:rsidP="00000000" w:rsidRDefault="00000000" w:rsidRPr="00000000" w14:paraId="0000000A">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По същество в сигнала се твърди, че от справки в имотния регистър е видно, че сред клиентите на „***“, придобили апартаменти на непазарни цени е и Гергана Мутафова от ВСС. Същата е закупила апартамент от фирма „***“ на 08.06.2018г.</w:t>
      </w:r>
    </w:p>
    <w:p w:rsidR="00000000" w:rsidDel="00000000" w:rsidP="00000000" w:rsidRDefault="00000000" w:rsidRPr="00000000" w14:paraId="0000000B">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Към сигнала е приложена справка от Служба по вписванията - С.</w:t>
      </w:r>
    </w:p>
    <w:p w:rsidR="00000000" w:rsidDel="00000000" w:rsidP="00000000" w:rsidRDefault="00000000" w:rsidRPr="00000000" w14:paraId="0000000C">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Във връзка с твърденията в сигнала, </w:t>
      </w:r>
      <w:r w:rsidDel="00000000" w:rsidR="00000000" w:rsidRPr="00000000">
        <w:rPr>
          <w:color w:val="000000"/>
          <w:vertAlign w:val="baseline"/>
          <w:rtl w:val="0"/>
        </w:rPr>
        <w:t xml:space="preserve">с писмо изх. № ЦУ01/13130/05.06.2019г. </w:t>
      </w:r>
      <w:r w:rsidDel="00000000" w:rsidR="00000000" w:rsidRPr="00000000">
        <w:rPr>
          <w:vertAlign w:val="baseline"/>
          <w:rtl w:val="0"/>
        </w:rPr>
        <w:t xml:space="preserve">Комисията е изискала </w:t>
      </w:r>
      <w:r w:rsidDel="00000000" w:rsidR="00000000" w:rsidRPr="00000000">
        <w:rPr>
          <w:color w:val="000000"/>
          <w:vertAlign w:val="baseline"/>
          <w:rtl w:val="0"/>
        </w:rPr>
        <w:t xml:space="preserve">от Председателя на Комисията за борба с корупцията, конфликт на интереси и парламентарна етика при 44-то Народно събрание на Република България, акта за избирането на Гергана Мутафова за член на ВСС.</w:t>
      </w:r>
      <w:r w:rsidDel="00000000" w:rsidR="00000000" w:rsidRPr="00000000">
        <w:rPr>
          <w:rtl w:val="0"/>
        </w:rPr>
      </w:r>
    </w:p>
    <w:p w:rsidR="00000000" w:rsidDel="00000000" w:rsidP="00000000" w:rsidRDefault="00000000" w:rsidRPr="00000000" w14:paraId="0000000D">
      <w:pPr>
        <w:tabs>
          <w:tab w:val="left" w:leader="none" w:pos="284"/>
        </w:tabs>
        <w:spacing w:after="240" w:line="276" w:lineRule="auto"/>
        <w:ind w:left="284" w:right="113" w:firstLine="709"/>
        <w:jc w:val="both"/>
        <w:rPr>
          <w:vertAlign w:val="baseline"/>
        </w:rPr>
      </w:pPr>
      <w:r w:rsidDel="00000000" w:rsidR="00000000" w:rsidRPr="00000000">
        <w:rPr>
          <w:vertAlign w:val="baseline"/>
          <w:rtl w:val="0"/>
        </w:rPr>
        <w:t xml:space="preserve">От </w:t>
      </w:r>
      <w:r w:rsidDel="00000000" w:rsidR="00000000" w:rsidRPr="00000000">
        <w:rPr>
          <w:color w:val="000000"/>
          <w:vertAlign w:val="baseline"/>
          <w:rtl w:val="0"/>
        </w:rPr>
        <w:t xml:space="preserve">Агенцията по вписвания е изискано с писмо изх. № ЦУ01-11838 от 14.05.2019г. на КПКОНПИ и с писмо, вх. № ЦУ01/13639 от 13.06.2019г. е получено заверено копие на документацията от покупко-продажбата на недвижими имоти от страна на Гергана Мутафова от „***“ АД.</w:t>
      </w:r>
      <w:r w:rsidDel="00000000" w:rsidR="00000000" w:rsidRPr="00000000">
        <w:rPr>
          <w:rtl w:val="0"/>
        </w:rPr>
      </w:r>
    </w:p>
    <w:p w:rsidR="00000000" w:rsidDel="00000000" w:rsidP="00000000" w:rsidRDefault="00000000" w:rsidRPr="00000000" w14:paraId="0000000E">
      <w:pPr>
        <w:tabs>
          <w:tab w:val="left" w:leader="none" w:pos="567"/>
        </w:tabs>
        <w:spacing w:after="240" w:line="276" w:lineRule="auto"/>
        <w:ind w:left="284" w:right="133" w:firstLine="709"/>
        <w:jc w:val="both"/>
        <w:rPr>
          <w:color w:val="000000"/>
          <w:vertAlign w:val="baseline"/>
        </w:rPr>
      </w:pPr>
      <w:r w:rsidDel="00000000" w:rsidR="00000000" w:rsidRPr="00000000">
        <w:rPr>
          <w:vertAlign w:val="baseline"/>
          <w:rtl w:val="0"/>
        </w:rPr>
        <w:t xml:space="preserve">Комисията служебно е направила справки в Търговски регистър по партидата на „***“ АД, гр. С., ЕИК *** и в </w:t>
      </w:r>
      <w:r w:rsidDel="00000000" w:rsidR="00000000" w:rsidRPr="00000000">
        <w:rPr>
          <w:color w:val="000000"/>
          <w:vertAlign w:val="baseline"/>
          <w:rtl w:val="0"/>
        </w:rPr>
        <w:t xml:space="preserve">Регистър НБД „Население“.</w:t>
      </w:r>
    </w:p>
    <w:p w:rsidR="00000000" w:rsidDel="00000000" w:rsidP="00000000" w:rsidRDefault="00000000" w:rsidRPr="00000000" w14:paraId="0000000F">
      <w:pPr>
        <w:tabs>
          <w:tab w:val="left" w:leader="none" w:pos="567"/>
        </w:tabs>
        <w:spacing w:after="240" w:lineRule="auto"/>
        <w:ind w:left="426" w:right="133"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Гергана Найденова Мутафова е избрана за член за прокурорската колегия на Висшия съдебен съвет от квотата на Народното събрание на 20 септември 2017г., видно от представеното Решение на 44-то Народно събрание за избор на член за прокурорската колегия на Висшия съдебен съвет от квотата на Народното събрание.</w:t>
      </w:r>
    </w:p>
    <w:p w:rsidR="00000000" w:rsidDel="00000000" w:rsidP="00000000" w:rsidRDefault="00000000" w:rsidRPr="00000000" w14:paraId="00000011">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От представените по преписката от Агенция по вписванията доказателства е видно, че на 06.08.2018г., с Нотариален акт за покупко-продажба на недвижими имоти №175, том № II, рег. №6672, дело №314 от 2018г., вписан в Служба по вписванията-С. с вх. рег. №51707/06.08.2018г., Гергана Мутафова е закупила от „***“ АД, представлявано от управителя си В.И.М., право на собственост върху следните недвижими имоти, изградени в степен на завършеност „груб строеж“, находящи се в новостроящата се жилищна сграда „***“, ***, в Поземелен имот с идентификатор 68134.801.2301, по кадастрална карта и кадастрални регистри на гр. С., С. община, одобрени със Заповед № РД-18-95/18.12.2015г. на Изпълнителния директор на АГКК, както следва:</w:t>
      </w:r>
    </w:p>
    <w:p w:rsidR="00000000" w:rsidDel="00000000" w:rsidP="00000000" w:rsidRDefault="00000000" w:rsidRPr="00000000" w14:paraId="00000012">
      <w:pPr>
        <w:numPr>
          <w:ilvl w:val="0"/>
          <w:numId w:val="1"/>
        </w:numPr>
        <w:tabs>
          <w:tab w:val="left" w:leader="none" w:pos="567"/>
        </w:tabs>
        <w:spacing w:after="240" w:line="276" w:lineRule="auto"/>
        <w:ind w:left="426" w:right="133" w:firstLine="709"/>
        <w:jc w:val="both"/>
        <w:rPr>
          <w:color w:val="000000"/>
        </w:rPr>
      </w:pPr>
      <w:r w:rsidDel="00000000" w:rsidR="00000000" w:rsidRPr="00000000">
        <w:rPr>
          <w:color w:val="000000"/>
          <w:vertAlign w:val="baseline"/>
          <w:rtl w:val="0"/>
        </w:rPr>
        <w:t xml:space="preserve">Апартамент №11, находящ се на трети етаж, кота +6,98 м., със застроена площ от 116,90 кв.м., заедно със съответните идеални части от общите части на сградата.</w:t>
      </w:r>
    </w:p>
    <w:p w:rsidR="00000000" w:rsidDel="00000000" w:rsidP="00000000" w:rsidRDefault="00000000" w:rsidRPr="00000000" w14:paraId="00000013">
      <w:pPr>
        <w:numPr>
          <w:ilvl w:val="0"/>
          <w:numId w:val="1"/>
        </w:numPr>
        <w:tabs>
          <w:tab w:val="left" w:leader="none" w:pos="426"/>
        </w:tabs>
        <w:spacing w:after="240" w:line="276" w:lineRule="auto"/>
        <w:ind w:left="426" w:right="133" w:firstLine="708.0000000000001"/>
        <w:jc w:val="both"/>
        <w:rPr>
          <w:color w:val="000000"/>
        </w:rPr>
      </w:pPr>
      <w:r w:rsidDel="00000000" w:rsidR="00000000" w:rsidRPr="00000000">
        <w:rPr>
          <w:color w:val="000000"/>
          <w:vertAlign w:val="baseline"/>
          <w:rtl w:val="0"/>
        </w:rPr>
        <w:t xml:space="preserve">Гараж №34 – двоен, находящ се на втори сутеренен етаж на жилищната сграда, кота-6,05 м., със застроена площ от 35,50 кв.м., заедно със съответни идеални части от общите части на сградата, съответни идеални части от маневреното пространство и съответните идеални части от правото на строеж върху урегулирания поземлен имот.</w:t>
      </w:r>
    </w:p>
    <w:p w:rsidR="00000000" w:rsidDel="00000000" w:rsidP="00000000" w:rsidRDefault="00000000" w:rsidRPr="00000000" w14:paraId="00000014">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Посочената в нотариалния акт данъчна оценка на апартамента е 150 247,90 лв., а за гаража 35 438,50 лв.</w:t>
      </w:r>
    </w:p>
    <w:p w:rsidR="00000000" w:rsidDel="00000000" w:rsidP="00000000" w:rsidRDefault="00000000" w:rsidRPr="00000000" w14:paraId="00000015">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Купувачът - Гергана Мутафова, е закупила горепосочените имоти за сума в размер на 327 036 лева, със средства по предоставения й от „***“ АД банков кредит, съгласно сроковете и при условията на подписания между Купувача и „***“ АД Договор за кредит за покупка на недвижим имот, обезпечен с ипотека № *** от 26.07.2018г.</w:t>
      </w:r>
    </w:p>
    <w:p w:rsidR="00000000" w:rsidDel="00000000" w:rsidP="00000000" w:rsidRDefault="00000000" w:rsidRPr="00000000" w14:paraId="00000016">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Страните по нотариалния акт са декларирали, че общата продажна цена от 327 036 лева, е действително уговореното дължимо плащане по настоящата сделка.</w:t>
      </w:r>
    </w:p>
    <w:p w:rsidR="00000000" w:rsidDel="00000000" w:rsidP="00000000" w:rsidRDefault="00000000" w:rsidRPr="00000000" w14:paraId="00000017">
      <w:pPr>
        <w:tabs>
          <w:tab w:val="left" w:leader="none" w:pos="567"/>
        </w:tabs>
        <w:spacing w:after="240" w:line="276" w:lineRule="auto"/>
        <w:ind w:left="426" w:right="133" w:firstLine="709"/>
        <w:jc w:val="both"/>
        <w:rPr>
          <w:color w:val="000000"/>
          <w:vertAlign w:val="baseline"/>
        </w:rPr>
      </w:pPr>
      <w:r w:rsidDel="00000000" w:rsidR="00000000" w:rsidRPr="00000000">
        <w:rPr>
          <w:vertAlign w:val="baseline"/>
          <w:rtl w:val="0"/>
        </w:rPr>
        <w:t xml:space="preserve">Според справка в Търговски регистър “***“ АД, гр. С., ЕИК ***, се представлява от Д.Ж.Ж. и В.И.М., действащи поотделно. Дружеството има Съвет на директорите, в който освен посочените представляващи, се включват още П.М.М., М.Я.Д. и С.Л.Л.</w:t>
      </w:r>
      <w:r w:rsidDel="00000000" w:rsidR="00000000" w:rsidRPr="00000000">
        <w:rPr>
          <w:rtl w:val="0"/>
        </w:rPr>
      </w:r>
    </w:p>
    <w:p w:rsidR="00000000" w:rsidDel="00000000" w:rsidP="00000000" w:rsidRDefault="00000000" w:rsidRPr="00000000" w14:paraId="00000018">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Видно от справката от НБД „Население“, не се установи родство между Гергана Найденова Мутафова и лицата – членове на Съвета на директорите на „***“ АД – Д.Ж.Ж., В.И.М., П.М.М., М.Я.Д. и С.Л.Л.</w:t>
      </w:r>
    </w:p>
    <w:p w:rsidR="00000000" w:rsidDel="00000000" w:rsidP="00000000" w:rsidRDefault="00000000" w:rsidRPr="00000000" w14:paraId="00000019">
      <w:pPr>
        <w:tabs>
          <w:tab w:val="left" w:leader="none" w:pos="567"/>
        </w:tabs>
        <w:spacing w:after="240" w:line="276" w:lineRule="auto"/>
        <w:ind w:left="426" w:right="133" w:firstLine="709"/>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A">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Сигналът е</w:t>
      </w:r>
      <w:r w:rsidDel="00000000" w:rsidR="00000000" w:rsidRPr="00000000">
        <w:rPr>
          <w:color w:val="000000"/>
          <w:vertAlign w:val="baseline"/>
          <w:rtl w:val="0"/>
        </w:rPr>
        <w:t xml:space="preserve"> образуван при условията на чл.47, ал.2 от ЗПКОНПИ</w:t>
      </w:r>
      <w:r w:rsidDel="00000000" w:rsidR="00000000" w:rsidRPr="00000000">
        <w:rPr>
          <w:vertAlign w:val="baseline"/>
          <w:rtl w:val="0"/>
        </w:rPr>
        <w:t xml:space="preserve">.</w:t>
      </w:r>
    </w:p>
    <w:p w:rsidR="00000000" w:rsidDel="00000000" w:rsidP="00000000" w:rsidRDefault="00000000" w:rsidRPr="00000000" w14:paraId="0000001B">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публична длъжност по смисъла на чл.3 от ЗПУКИ (отм.), респ. лице,, заемащо висша публична длъжност по смисъла на чл.6, ал.1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Като член на Висшия съдебен съвет от 20 септември 2017г., Гергана Найденова Мутафова е лице, заемало публична длъжност, по смисъла на чл.3, т.10 от ЗПУКИ (отм.), респективно - лице, заемащо висша публична длъжност по чл.6, ал.1, т.7 от ЗПКОНПИ, след влизането му в сила на 23.01.2018г., поради което компетентна да се произнесе относно наличието или липсата на конфликт на интереси по отношение на нея, в това й качество, е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1E">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Съгласно чл.30, ал.1 от Закона за съдебната власт, Висшият съдебен съвет е колективен орган, осъществява правомощията си чрез пленум, съдийска и прокурорска колегии. Съдийската и прокурорската колегии осъществяват поотделно и в съответствие с професионаланата си насоченост правомощия по отношение на съдиите, прокурорите и следователите, подробно изброени в чл.30, ал.5 от Закона за съдебната власт.</w:t>
      </w:r>
    </w:p>
    <w:p w:rsidR="00000000" w:rsidDel="00000000" w:rsidP="00000000" w:rsidRDefault="00000000" w:rsidRPr="00000000" w14:paraId="0000001F">
      <w:pPr>
        <w:tabs>
          <w:tab w:val="left" w:leader="none" w:pos="567"/>
        </w:tabs>
        <w:spacing w:after="240" w:line="276" w:lineRule="auto"/>
        <w:ind w:left="426" w:right="133" w:firstLine="709"/>
        <w:jc w:val="both"/>
        <w:rPr>
          <w:vertAlign w:val="baseline"/>
        </w:rPr>
      </w:pPr>
      <w:r w:rsidDel="00000000" w:rsidR="00000000" w:rsidRPr="00000000">
        <w:rPr>
          <w:vertAlign w:val="baseline"/>
          <w:rtl w:val="0"/>
        </w:rPr>
        <w:t xml:space="preserve">С оглед на правомощията й като член на Висшия съдебен съвет е видно, че Гергана Мутафова не би могъла да упражни правомощия по служба по отношение на трети физически или юридически лица във връзка с осъществяване на сделки с недвижими имоти, в това число и за посочените недвижими имоти, находящи се в ***.</w:t>
      </w:r>
    </w:p>
    <w:p w:rsidR="00000000" w:rsidDel="00000000" w:rsidP="00000000" w:rsidRDefault="00000000" w:rsidRPr="00000000" w14:paraId="00000020">
      <w:pPr>
        <w:tabs>
          <w:tab w:val="left" w:leader="none" w:pos="567"/>
        </w:tabs>
        <w:spacing w:after="240" w:line="276" w:lineRule="auto"/>
        <w:ind w:left="426" w:right="133" w:firstLine="709"/>
        <w:jc w:val="both"/>
        <w:rPr>
          <w:color w:val="000000"/>
          <w:vertAlign w:val="baseline"/>
        </w:rPr>
      </w:pPr>
      <w:r w:rsidDel="00000000" w:rsidR="00000000" w:rsidRPr="00000000">
        <w:rPr>
          <w:color w:val="000000"/>
          <w:vertAlign w:val="baseline"/>
          <w:rtl w:val="0"/>
        </w:rPr>
        <w:t xml:space="preserve">В сигнала липсват твърдения за упражнени от Гергана Мутафова, в качеството й на лице, заемащо публична, респективно висша публична длъжност, правомощия или задължения по служба по отношение на „***“ АД. Такива не се събраха и в хода на административното производство.</w:t>
      </w:r>
    </w:p>
    <w:p w:rsidR="00000000" w:rsidDel="00000000" w:rsidP="00000000" w:rsidRDefault="00000000" w:rsidRPr="00000000" w14:paraId="00000021">
      <w:pPr>
        <w:spacing w:after="240" w:line="276" w:lineRule="auto"/>
        <w:ind w:left="426" w:firstLine="709"/>
        <w:jc w:val="both"/>
        <w:rPr>
          <w:vertAlign w:val="baseline"/>
        </w:rPr>
      </w:pPr>
      <w:r w:rsidDel="00000000" w:rsidR="00000000" w:rsidRPr="00000000">
        <w:rPr>
          <w:vertAlign w:val="baseline"/>
          <w:rtl w:val="0"/>
        </w:rPr>
        <w:t xml:space="preserve">Твърденията в сигнала касаят правни действия – сключване на договор за покупко-продажба на недвижими имоти, извършени от Гергана Найденова Мутафова в качеството й на физическо лице - участник в гражданскоправния оборот, а не в качеството й на лице, заемащо публична, респективно висша публична длъжност.</w:t>
      </w:r>
    </w:p>
    <w:p w:rsidR="00000000" w:rsidDel="00000000" w:rsidP="00000000" w:rsidRDefault="00000000" w:rsidRPr="00000000" w14:paraId="00000022">
      <w:pPr>
        <w:spacing w:after="240" w:line="276" w:lineRule="auto"/>
        <w:ind w:left="426" w:firstLine="709"/>
        <w:jc w:val="both"/>
        <w:rPr>
          <w:vertAlign w:val="baseline"/>
        </w:rPr>
      </w:pPr>
      <w:r w:rsidDel="00000000" w:rsidR="00000000" w:rsidRPr="00000000">
        <w:rPr>
          <w:vertAlign w:val="baseline"/>
          <w:rtl w:val="0"/>
        </w:rPr>
        <w:t xml:space="preserve">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23">
      <w:pPr>
        <w:spacing w:after="240" w:line="276" w:lineRule="auto"/>
        <w:ind w:left="426" w:firstLine="709"/>
        <w:jc w:val="both"/>
        <w:rPr>
          <w:vertAlign w:val="baseline"/>
        </w:rPr>
      </w:pPr>
      <w:r w:rsidDel="00000000" w:rsidR="00000000" w:rsidRPr="00000000">
        <w:rPr>
          <w:color w:val="000000"/>
          <w:vertAlign w:val="baseline"/>
          <w:rtl w:val="0"/>
        </w:rPr>
        <w:t xml:space="preserve">Предвид изложеното, на основание </w:t>
      </w:r>
      <w:r w:rsidDel="00000000" w:rsidR="00000000" w:rsidRPr="00000000">
        <w:rPr>
          <w:vertAlign w:val="baseline"/>
          <w:rtl w:val="0"/>
        </w:rPr>
        <w:t xml:space="preserve">чл.27, ал.2, т.6 от АПК във вр. с </w:t>
      </w:r>
      <w:r w:rsidDel="00000000" w:rsidR="00000000" w:rsidRPr="00000000">
        <w:rPr>
          <w:color w:val="000000"/>
          <w:vertAlign w:val="baseline"/>
          <w:rtl w:val="0"/>
        </w:rPr>
        <w:t xml:space="preserve">чл.74, ал.1 и ал.2 от ЗПКОНПИ, Комисията за противодействие на корупцията 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24">
      <w:pPr>
        <w:tabs>
          <w:tab w:val="left" w:leader="none" w:pos="567"/>
        </w:tabs>
        <w:spacing w:after="240" w:lineRule="auto"/>
        <w:ind w:left="426" w:right="133"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5">
      <w:pPr>
        <w:tabs>
          <w:tab w:val="left" w:leader="none" w:pos="567"/>
        </w:tabs>
        <w:spacing w:after="240" w:line="276" w:lineRule="auto"/>
        <w:ind w:left="426" w:right="133" w:firstLine="720"/>
        <w:jc w:val="both"/>
        <w:rPr>
          <w:color w:val="000000"/>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Гергана Найденова Мутафова с ЕГН *** – член на Висшия съдебен съвет и лице, заемало публична длъжност по смисъла на чл.3, т.10 от ЗПУКИ (отм.), респективно - лице, заемащо висша публична длъжност по чл.6, ал.1, т.7 от ЗПКОНПИ, във връзка със закупени на 06.08.2018г. недвижими имоти от „***“ АД, находящи се в новострояща се жилищна сграда в ***</w:t>
      </w:r>
      <w:r w:rsidDel="00000000" w:rsidR="00000000" w:rsidRPr="00000000">
        <w:rPr>
          <w:color w:val="000000"/>
          <w:vertAlign w:val="baseline"/>
          <w:rtl w:val="0"/>
        </w:rPr>
        <w:t xml:space="preserve">, </w:t>
      </w:r>
      <w:r w:rsidDel="00000000" w:rsidR="00000000" w:rsidRPr="00000000">
        <w:rPr>
          <w:vertAlign w:val="baseline"/>
          <w:rtl w:val="0"/>
        </w:rPr>
        <w:t xml:space="preserve">поради липсата на упражнени правомощия по служба.</w:t>
      </w:r>
      <w:r w:rsidDel="00000000" w:rsidR="00000000" w:rsidRPr="00000000">
        <w:rPr>
          <w:rtl w:val="0"/>
        </w:rPr>
      </w:r>
    </w:p>
    <w:p w:rsidR="00000000" w:rsidDel="00000000" w:rsidP="00000000" w:rsidRDefault="00000000" w:rsidRPr="00000000" w14:paraId="00000026">
      <w:pPr>
        <w:tabs>
          <w:tab w:val="left" w:leader="none" w:pos="567"/>
        </w:tabs>
        <w:spacing w:after="240" w:line="276" w:lineRule="auto"/>
        <w:ind w:left="426" w:right="133" w:firstLine="708.0000000000001"/>
        <w:jc w:val="both"/>
        <w:rPr>
          <w:b w:val="0"/>
          <w:bCs w:val="0"/>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7">
      <w:pPr>
        <w:tabs>
          <w:tab w:val="left" w:leader="none" w:pos="567"/>
        </w:tabs>
        <w:spacing w:after="240" w:lineRule="auto"/>
        <w:ind w:left="426" w:right="133" w:firstLine="708.0000000000001"/>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8">
      <w:pPr>
        <w:tabs>
          <w:tab w:val="left" w:leader="none" w:pos="6300"/>
        </w:tabs>
        <w:ind w:firstLine="1134"/>
        <w:jc w:val="both"/>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9">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2A">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2B">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021" w:left="1021"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D">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506" w:hanging="360"/>
      </w:pPr>
      <w:rPr>
        <w:rFonts w:ascii="Times New Roman" w:cs="Times New Roman" w:eastAsia="Times New Roman" w:hAnsi="Times New Roman"/>
        <w:vertAlign w:val="baseline"/>
      </w:rPr>
    </w:lvl>
    <w:lvl w:ilvl="1">
      <w:start w:val="1"/>
      <w:numFmt w:val="lowerLetter"/>
      <w:lvlText w:val="%2."/>
      <w:lvlJc w:val="left"/>
      <w:pPr>
        <w:ind w:left="2226" w:hanging="360"/>
      </w:pPr>
      <w:rPr>
        <w:vertAlign w:val="baseline"/>
      </w:rPr>
    </w:lvl>
    <w:lvl w:ilvl="2">
      <w:start w:val="1"/>
      <w:numFmt w:val="lowerRoman"/>
      <w:lvlText w:val="%3."/>
      <w:lvlJc w:val="right"/>
      <w:pPr>
        <w:ind w:left="2946" w:hanging="180"/>
      </w:pPr>
      <w:rPr>
        <w:vertAlign w:val="baseline"/>
      </w:rPr>
    </w:lvl>
    <w:lvl w:ilvl="3">
      <w:start w:val="1"/>
      <w:numFmt w:val="decimal"/>
      <w:lvlText w:val="%4."/>
      <w:lvlJc w:val="left"/>
      <w:pPr>
        <w:ind w:left="3666" w:hanging="360"/>
      </w:pPr>
      <w:rPr>
        <w:vertAlign w:val="baseline"/>
      </w:rPr>
    </w:lvl>
    <w:lvl w:ilvl="4">
      <w:start w:val="1"/>
      <w:numFmt w:val="lowerLetter"/>
      <w:lvlText w:val="%5."/>
      <w:lvlJc w:val="left"/>
      <w:pPr>
        <w:ind w:left="4386" w:hanging="360"/>
      </w:pPr>
      <w:rPr>
        <w:vertAlign w:val="baseline"/>
      </w:rPr>
    </w:lvl>
    <w:lvl w:ilvl="5">
      <w:start w:val="1"/>
      <w:numFmt w:val="lowerRoman"/>
      <w:lvlText w:val="%6."/>
      <w:lvlJc w:val="right"/>
      <w:pPr>
        <w:ind w:left="5106" w:hanging="180"/>
      </w:pPr>
      <w:rPr>
        <w:vertAlign w:val="baseline"/>
      </w:rPr>
    </w:lvl>
    <w:lvl w:ilvl="6">
      <w:start w:val="1"/>
      <w:numFmt w:val="decimal"/>
      <w:lvlText w:val="%7."/>
      <w:lvlJc w:val="left"/>
      <w:pPr>
        <w:ind w:left="5826" w:hanging="360"/>
      </w:pPr>
      <w:rPr>
        <w:vertAlign w:val="baseline"/>
      </w:rPr>
    </w:lvl>
    <w:lvl w:ilvl="7">
      <w:start w:val="1"/>
      <w:numFmt w:val="lowerLetter"/>
      <w:lvlText w:val="%8."/>
      <w:lvlJc w:val="left"/>
      <w:pPr>
        <w:ind w:left="6546" w:hanging="360"/>
      </w:pPr>
      <w:rPr>
        <w:vertAlign w:val="baseline"/>
      </w:rPr>
    </w:lvl>
    <w:lvl w:ilvl="8">
      <w:start w:val="1"/>
      <w:numFmt w:val="lowerRoman"/>
      <w:lvlText w:val="%9."/>
      <w:lvlJc w:val="right"/>
      <w:pPr>
        <w:ind w:left="7266"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