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0"/>
          <w:bCs w:val="0"/>
          <w:vertAlign w:val="baseline"/>
        </w:rPr>
      </w:pPr>
      <w:r w:rsidDel="00000000" w:rsidR="00000000" w:rsidRPr="00000000">
        <w:rPr>
          <w:b w:val="1"/>
          <w:bCs w:val="1"/>
          <w:vertAlign w:val="baseline"/>
          <w:rtl w:val="0"/>
        </w:rPr>
        <w:t xml:space="preserve">Р Е Ш Е Н И Е</w:t>
      </w:r>
      <w:r w:rsidDel="00000000" w:rsidR="00000000" w:rsidRPr="00000000">
        <w:rPr>
          <w:rtl w:val="0"/>
        </w:rPr>
      </w:r>
    </w:p>
    <w:p w:rsidR="00000000" w:rsidDel="00000000" w:rsidP="00000000" w:rsidRDefault="00000000" w:rsidRPr="00000000" w14:paraId="00000002">
      <w:pPr>
        <w:widowControl w:val="0"/>
        <w:jc w:val="center"/>
        <w:rPr>
          <w:b w:val="0"/>
          <w:bCs w:val="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РС-14930-19-56</w:t>
      </w:r>
      <w:r w:rsidDel="00000000" w:rsidR="00000000" w:rsidRPr="00000000">
        <w:rPr>
          <w:rtl w:val="0"/>
        </w:rPr>
      </w:r>
    </w:p>
    <w:p w:rsidR="00000000" w:rsidDel="00000000" w:rsidP="00000000" w:rsidRDefault="00000000" w:rsidRPr="00000000" w14:paraId="00000003">
      <w:pPr>
        <w:widowControl w:val="0"/>
        <w:jc w:val="center"/>
        <w:rPr>
          <w:b w:val="0"/>
          <w:bCs w:val="0"/>
          <w:sz w:val="16"/>
          <w:szCs w:val="16"/>
          <w:vertAlign w:val="baseline"/>
        </w:rPr>
      </w:pPr>
      <w:r w:rsidDel="00000000" w:rsidR="00000000" w:rsidRPr="00000000">
        <w:rPr>
          <w:rtl w:val="0"/>
        </w:rPr>
      </w:r>
    </w:p>
    <w:p w:rsidR="00000000" w:rsidDel="00000000" w:rsidP="00000000" w:rsidRDefault="00000000" w:rsidRPr="00000000" w14:paraId="00000004">
      <w:pPr>
        <w:ind w:firstLine="567"/>
        <w:jc w:val="both"/>
        <w:rPr>
          <w:u w:val="single"/>
          <w:vertAlign w:val="baseline"/>
        </w:rPr>
      </w:pPr>
      <w:r w:rsidDel="00000000" w:rsidR="00000000" w:rsidRPr="00000000">
        <w:rPr>
          <w:vertAlign w:val="baseline"/>
          <w:rtl w:val="0"/>
        </w:rPr>
        <w:t xml:space="preserve">Днесq 18.09.2019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5">
      <w:pPr>
        <w:spacing w:before="120" w:lineRule="auto"/>
        <w:ind w:firstLine="567"/>
        <w:jc w:val="both"/>
        <w:rPr>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6">
      <w:pPr>
        <w:spacing w:before="120" w:lineRule="auto"/>
        <w:ind w:firstLine="567"/>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7">
      <w:pPr>
        <w:spacing w:before="120" w:lineRule="auto"/>
        <w:ind w:firstLine="567"/>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8">
      <w:pPr>
        <w:jc w:val="center"/>
        <w:rPr>
          <w:b w:val="0"/>
          <w:bCs w:val="0"/>
          <w:vertAlign w:val="baseline"/>
        </w:rPr>
      </w:pPr>
      <w:r w:rsidDel="00000000" w:rsidR="00000000" w:rsidRPr="00000000">
        <w:rPr>
          <w:rtl w:val="0"/>
        </w:rPr>
      </w:r>
    </w:p>
    <w:p w:rsidR="00000000" w:rsidDel="00000000" w:rsidP="00000000" w:rsidRDefault="00000000" w:rsidRPr="00000000" w14:paraId="00000009">
      <w:pPr>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A">
      <w:pPr>
        <w:jc w:val="center"/>
        <w:rPr>
          <w:b w:val="0"/>
          <w:bCs w:val="0"/>
          <w:sz w:val="16"/>
          <w:szCs w:val="16"/>
          <w:vertAlign w:val="baseline"/>
        </w:rPr>
      </w:pPr>
      <w:r w:rsidDel="00000000" w:rsidR="00000000" w:rsidRPr="00000000">
        <w:rPr>
          <w:rtl w:val="0"/>
        </w:rPr>
      </w:r>
    </w:p>
    <w:p w:rsidR="00000000" w:rsidDel="00000000" w:rsidP="00000000" w:rsidRDefault="00000000" w:rsidRPr="00000000" w14:paraId="0000000B">
      <w:pPr>
        <w:ind w:right="141" w:firstLine="567"/>
        <w:jc w:val="both"/>
        <w:rPr>
          <w:color w:val="000000"/>
          <w:vertAlign w:val="baseline"/>
        </w:rPr>
      </w:pPr>
      <w:r w:rsidDel="00000000" w:rsidR="00000000" w:rsidRPr="00000000">
        <w:rPr>
          <w:color w:val="000000"/>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по сигнал с рег. № </w:t>
      </w:r>
      <w:r w:rsidDel="00000000" w:rsidR="00000000" w:rsidRPr="00000000">
        <w:rPr>
          <w:vertAlign w:val="baseline"/>
          <w:rtl w:val="0"/>
        </w:rPr>
        <w:t xml:space="preserve">ЦУ01/</w:t>
      </w:r>
      <w:r w:rsidDel="00000000" w:rsidR="00000000" w:rsidRPr="00000000">
        <w:rPr>
          <w:color w:val="000000"/>
          <w:vertAlign w:val="baseline"/>
          <w:rtl w:val="0"/>
        </w:rPr>
        <w:t xml:space="preserve">14930</w:t>
      </w:r>
      <w:r w:rsidDel="00000000" w:rsidR="00000000" w:rsidRPr="00000000">
        <w:rPr>
          <w:b w:val="1"/>
          <w:bCs w:val="1"/>
          <w:color w:val="000000"/>
          <w:vertAlign w:val="baseline"/>
          <w:rtl w:val="0"/>
        </w:rPr>
        <w:t xml:space="preserve"> </w:t>
      </w:r>
      <w:r w:rsidDel="00000000" w:rsidR="00000000" w:rsidRPr="00000000">
        <w:rPr>
          <w:vertAlign w:val="baseline"/>
          <w:rtl w:val="0"/>
        </w:rPr>
        <w:t xml:space="preserve">от 05.07.2019 г., по описа на КПКОНПИ.</w:t>
      </w:r>
      <w:r w:rsidDel="00000000" w:rsidR="00000000" w:rsidRPr="00000000">
        <w:rPr>
          <w:rtl w:val="0"/>
        </w:rPr>
      </w:r>
    </w:p>
    <w:p w:rsidR="00000000" w:rsidDel="00000000" w:rsidP="00000000" w:rsidRDefault="00000000" w:rsidRPr="00000000" w14:paraId="0000000C">
      <w:pPr>
        <w:tabs>
          <w:tab w:val="left" w:leader="none" w:pos="0"/>
        </w:tabs>
        <w:ind w:firstLine="567"/>
        <w:jc w:val="both"/>
        <w:rPr>
          <w:vertAlign w:val="baseline"/>
        </w:rPr>
      </w:pPr>
      <w:r w:rsidDel="00000000" w:rsidR="00000000" w:rsidRPr="00000000">
        <w:rPr>
          <w:vertAlign w:val="baseline"/>
          <w:rtl w:val="0"/>
        </w:rPr>
        <w:t xml:space="preserve">Сигналът е насочен против Стефан Аспарухов – Главен архитект на Община E.П.</w:t>
      </w:r>
    </w:p>
    <w:p w:rsidR="00000000" w:rsidDel="00000000" w:rsidP="00000000" w:rsidRDefault="00000000" w:rsidRPr="00000000" w14:paraId="0000000D">
      <w:pPr>
        <w:ind w:firstLine="567"/>
        <w:jc w:val="both"/>
        <w:rPr>
          <w:vertAlign w:val="baseline"/>
        </w:rPr>
      </w:pPr>
      <w:r w:rsidDel="00000000" w:rsidR="00000000" w:rsidRPr="00000000">
        <w:rPr>
          <w:vertAlign w:val="baseline"/>
          <w:rtl w:val="0"/>
        </w:rPr>
        <w:t xml:space="preserve">По същество, в сигнала се твърди, че по искане на РС-E.П. по гр.д.№ 938/ 2015 г. по описа на същия, Главният архитект на Община E.П. Стефан Аспарухов е представил Удостоверение с рег. № П-02-31538/2/02.07.2018 г. на общината, с което е удостоверил, че процесният имот е поделяем по смисъла на чл.19, ал.4 от ЗУТ. Проектите за изменение на действащия план за регулация и обособяването на два нови урегулирани поземлени имота от процесния, се изготвят и представят от самите страни в делбеното производство, съгласно ЗУТ. Във връзка със  становището за поделяемост на имота страните в процеса са изготвили два проекта за обособяване на самостоятелни имоти, но предвид спор помежду им кой от двата да се одобри, то същите са изпратени на главния архитект за становище дали така предложените проекти могат да бъдат одобрени и дали отговарят на изискванията на ЗУТ. Вместо да даде само такова становище, каквото се иска от него, Главният архитект на E.П. лично е изготвил и представил на съда трети проект, без да се произнесе относно двата изготвени от страните. Същият е внесен в Районен съд - E.П. по гр. д.№938/ 2015 г., заедно със становище с рег. № П-02-31538/12/ 13.05.2019 г. на Община E.П. По този начин Аспарухов подвежда съда, т.к. такива проекти могат да се представят само от страните по делото. Изготвянето лично от него на скица-проект за разделяне на имота, както и фактът, че същият е изготвен изцяло така, че да се покрива с искането на едната от страните в процеса – Е.Ц., навежда на конфликт на интереси с нея.  </w:t>
      </w:r>
    </w:p>
    <w:p w:rsidR="00000000" w:rsidDel="00000000" w:rsidP="00000000" w:rsidRDefault="00000000" w:rsidRPr="00000000" w14:paraId="0000000E">
      <w:pPr>
        <w:ind w:firstLine="567"/>
        <w:jc w:val="both"/>
        <w:rPr>
          <w:vertAlign w:val="baseline"/>
        </w:rPr>
      </w:pPr>
      <w:r w:rsidDel="00000000" w:rsidR="00000000" w:rsidRPr="00000000">
        <w:rPr>
          <w:vertAlign w:val="baseline"/>
          <w:rtl w:val="0"/>
        </w:rPr>
        <w:t xml:space="preserve">Към сигнала са приложени като доказателства: Становище с рег. № П-02-31538/12/ 13.05.2019 г. и скица-проект от Главния архитект на Община E.П., Нотариален акт за учредяване право на строеж №143/ 2004 г., Удостоверение за въвеждане в експлоатация на строеж №21/ 27.05.2013 г., скица – проект за делба, Удостоверение с рег. № П-02-31538/2/02.07.2018 г., Протокол за трасиране, означаване и координиране на Дял 1 от 02.06.2017 г. с приложена скица, техническо задание с приложени скица – предложение за изменение на ПУП-ПР, молби с рег. № П-02-31538/8/ 18.02.2019 г. и рег. № П-02-31538/10/01.04.2019 г., възражение до РС-E.П. по гр.д.№ 938/ 2015 г. и възражение с рег. № П-02-31538/14/ 10.06.2019 г. на Община E.П.</w:t>
      </w:r>
    </w:p>
    <w:p w:rsidR="00000000" w:rsidDel="00000000" w:rsidP="00000000" w:rsidRDefault="00000000" w:rsidRPr="00000000" w14:paraId="0000000F">
      <w:pPr>
        <w:ind w:firstLine="567"/>
        <w:jc w:val="both"/>
        <w:rPr>
          <w:vertAlign w:val="baseline"/>
        </w:rPr>
      </w:pPr>
      <w:r w:rsidDel="00000000" w:rsidR="00000000" w:rsidRPr="00000000">
        <w:rPr>
          <w:vertAlign w:val="baseline"/>
          <w:rtl w:val="0"/>
        </w:rPr>
        <w:t xml:space="preserve">Във връзка с твърденията в сигнала Комисията е изискала от Кмета на Община E.П. и с писмо, вх. №ЦУ01/18705/ 10.09.2019 г. е получила доказателства за служебното качество на Главния архитект на общината – Трудов договор №107/ 18.02.2016 г., длъжностна характеристика, декларация по чл.12 от ЗПУКИ (отм.) с вх. № 266/ 19.02.2016 г., удостоверения от Камарата на архитектите в България за 2016, 2017 и 2018 г. </w:t>
      </w:r>
    </w:p>
    <w:p w:rsidR="00000000" w:rsidDel="00000000" w:rsidP="00000000" w:rsidRDefault="00000000" w:rsidRPr="00000000" w14:paraId="00000010">
      <w:pPr>
        <w:ind w:firstLine="708"/>
        <w:jc w:val="both"/>
        <w:rPr>
          <w:vertAlign w:val="baseline"/>
        </w:rPr>
      </w:pPr>
      <w:r w:rsidDel="00000000" w:rsidR="00000000" w:rsidRPr="00000000">
        <w:rPr>
          <w:vertAlign w:val="baseline"/>
          <w:rtl w:val="0"/>
        </w:rPr>
        <w:t xml:space="preserve">Комисията служебно е извършила справки на електронната страница на Община E.П. и на Камарата на архитектите в България, в НБД „Население“, както и в Регистъра на лицата, заемащи висши публични длъжности на КПКОНПИ – за подадените от Стефан Аспарухов декларации по чл.35, ал.1, т.2 от ЗПКОНПИ.</w:t>
      </w:r>
    </w:p>
    <w:p w:rsidR="00000000" w:rsidDel="00000000" w:rsidP="00000000" w:rsidRDefault="00000000" w:rsidRPr="00000000" w14:paraId="00000011">
      <w:pPr>
        <w:tabs>
          <w:tab w:val="left" w:leader="none" w:pos="0"/>
        </w:tabs>
        <w:ind w:firstLine="567"/>
        <w:jc w:val="both"/>
        <w:rPr>
          <w:sz w:val="16"/>
          <w:szCs w:val="16"/>
          <w:vertAlign w:val="baseline"/>
        </w:rPr>
      </w:pPr>
      <w:r w:rsidDel="00000000" w:rsidR="00000000" w:rsidRPr="00000000">
        <w:rPr>
          <w:rtl w:val="0"/>
        </w:rPr>
      </w:r>
    </w:p>
    <w:p w:rsidR="00000000" w:rsidDel="00000000" w:rsidP="00000000" w:rsidRDefault="00000000" w:rsidRPr="00000000" w14:paraId="00000012">
      <w:pPr>
        <w:ind w:firstLine="567"/>
        <w:rPr>
          <w:i w:val="0"/>
          <w:iCs w:val="0"/>
          <w:vertAlign w:val="baseline"/>
        </w:rPr>
      </w:pPr>
      <w:r w:rsidDel="00000000" w:rsidR="00000000" w:rsidRPr="00000000">
        <w:rPr>
          <w:i w:val="1"/>
          <w:iCs w:val="1"/>
          <w:vertAlign w:val="baseline"/>
          <w:rtl w:val="0"/>
        </w:rPr>
        <w:t xml:space="preserve">При така извършената проверка, Комисията за противодействие на корупцията и за отнемане на незаконно придобитото имущество установи следното от фактическа страна:</w:t>
      </w:r>
      <w:r w:rsidDel="00000000" w:rsidR="00000000" w:rsidRPr="00000000">
        <w:rPr>
          <w:rtl w:val="0"/>
        </w:rPr>
      </w:r>
    </w:p>
    <w:p w:rsidR="00000000" w:rsidDel="00000000" w:rsidP="00000000" w:rsidRDefault="00000000" w:rsidRPr="00000000" w14:paraId="00000013">
      <w:pPr>
        <w:ind w:firstLine="567"/>
        <w:jc w:val="center"/>
        <w:rPr>
          <w:i w:val="0"/>
          <w:iCs w:val="0"/>
          <w:sz w:val="16"/>
          <w:szCs w:val="16"/>
          <w:vertAlign w:val="baseline"/>
        </w:rPr>
      </w:pPr>
      <w:r w:rsidDel="00000000" w:rsidR="00000000" w:rsidRPr="00000000">
        <w:rPr>
          <w:rtl w:val="0"/>
        </w:rPr>
      </w:r>
    </w:p>
    <w:p w:rsidR="00000000" w:rsidDel="00000000" w:rsidP="00000000" w:rsidRDefault="00000000" w:rsidRPr="00000000" w14:paraId="00000014">
      <w:pPr>
        <w:ind w:firstLine="567"/>
        <w:jc w:val="both"/>
        <w:rPr>
          <w:vertAlign w:val="baseline"/>
        </w:rPr>
      </w:pPr>
      <w:r w:rsidDel="00000000" w:rsidR="00000000" w:rsidRPr="00000000">
        <w:rPr>
          <w:color w:val="000000"/>
          <w:vertAlign w:val="baseline"/>
          <w:rtl w:val="0"/>
        </w:rPr>
        <w:t xml:space="preserve">Сигналът е </w:t>
      </w:r>
      <w:r w:rsidDel="00000000" w:rsidR="00000000" w:rsidRPr="00000000">
        <w:rPr>
          <w:vertAlign w:val="baseline"/>
          <w:rtl w:val="0"/>
        </w:rPr>
        <w:t xml:space="preserve">подаден от лице с посочени три имена, ЕГН, адрес и е подписан. </w:t>
      </w:r>
    </w:p>
    <w:p w:rsidR="00000000" w:rsidDel="00000000" w:rsidP="00000000" w:rsidRDefault="00000000" w:rsidRPr="00000000" w14:paraId="00000015">
      <w:pPr>
        <w:ind w:firstLine="567"/>
        <w:jc w:val="both"/>
        <w:rPr>
          <w:vertAlign w:val="baseline"/>
        </w:rPr>
      </w:pPr>
      <w:r w:rsidDel="00000000" w:rsidR="00000000" w:rsidRPr="00000000">
        <w:rPr>
          <w:vertAlign w:val="baseline"/>
          <w:rtl w:val="0"/>
        </w:rPr>
        <w:t xml:space="preserve">Стефан В. Аспарухов е назначен за Главен архитект на Община E.П. на 18.02.2016 година. Същият е подал декларации по чл.12 от ЗПУКИ (отм.), както и декларации по чл.35, ал.1, т.2 от ЗПКОНПИ с вх. № В1813/08.06.2018 г. и вх. № В1814/08.06.2018 г. /част интереси/ на КПКОНПИ, в които е декларирал участие със 100% от капитала в „*****“ ЕООД и в „*****“ ЕООД и не е декларирал наличие на частен интерес към дейността на свързани лица. </w:t>
      </w:r>
    </w:p>
    <w:p w:rsidR="00000000" w:rsidDel="00000000" w:rsidP="00000000" w:rsidRDefault="00000000" w:rsidRPr="00000000" w14:paraId="00000016">
      <w:pPr>
        <w:ind w:right="-284" w:firstLine="567"/>
        <w:jc w:val="both"/>
        <w:rPr>
          <w:vertAlign w:val="baseline"/>
        </w:rPr>
      </w:pPr>
      <w:r w:rsidDel="00000000" w:rsidR="00000000" w:rsidRPr="00000000">
        <w:rPr>
          <w:vertAlign w:val="baseline"/>
          <w:rtl w:val="0"/>
        </w:rPr>
        <w:t xml:space="preserve">От справка в Търговски регистър на 11.09.2019 г. е видно, че на 07.09.2018 г. е вписано прехвърляне на притежавания от Стефан В. Аспарухов 100% капитал в „*****“ ЕООД и в „*****“ ЕООД на М.В.А., двете дружества със седалище в град М. и с управител Е.А.</w:t>
      </w:r>
    </w:p>
    <w:p w:rsidR="00000000" w:rsidDel="00000000" w:rsidP="00000000" w:rsidRDefault="00000000" w:rsidRPr="00000000" w14:paraId="00000017">
      <w:pPr>
        <w:ind w:firstLine="567"/>
        <w:jc w:val="both"/>
        <w:rPr>
          <w:vertAlign w:val="baseline"/>
        </w:rPr>
      </w:pPr>
      <w:r w:rsidDel="00000000" w:rsidR="00000000" w:rsidRPr="00000000">
        <w:rPr>
          <w:vertAlign w:val="baseline"/>
          <w:rtl w:val="0"/>
        </w:rPr>
        <w:t xml:space="preserve">Стефан Аспарухов е вписан като архитект в Камарата на архитектите в България с рег. № 04646 и притежава пълна проектантска правоспособност по чл.230 от ЗУТ, с ограничение за територията на Община E.П.</w:t>
      </w:r>
    </w:p>
    <w:p w:rsidR="00000000" w:rsidDel="00000000" w:rsidP="00000000" w:rsidRDefault="00000000" w:rsidRPr="00000000" w14:paraId="00000018">
      <w:pPr>
        <w:ind w:firstLine="567"/>
        <w:jc w:val="both"/>
        <w:rPr>
          <w:vertAlign w:val="baseline"/>
        </w:rPr>
      </w:pPr>
      <w:r w:rsidDel="00000000" w:rsidR="00000000" w:rsidRPr="00000000">
        <w:rPr>
          <w:vertAlign w:val="baseline"/>
          <w:rtl w:val="0"/>
        </w:rPr>
        <w:t xml:space="preserve">От представените по преписката доказателства е видно, че Стефан Аспарухов, в качеството си на Главен архитект на Община E.П., е издал Удостоверение с рег. № П-02-31538/2/02.07.2018 г., с което е  удостоверил, че УПИ IV-425, кв. 48, по регулационния план на с. *****, община E.П. е поделяем по смисъла на чл.19, ал.4 от ЗУТ.</w:t>
      </w:r>
    </w:p>
    <w:p w:rsidR="00000000" w:rsidDel="00000000" w:rsidP="00000000" w:rsidRDefault="00000000" w:rsidRPr="00000000" w14:paraId="00000019">
      <w:pPr>
        <w:ind w:firstLine="567"/>
        <w:jc w:val="both"/>
        <w:rPr>
          <w:vertAlign w:val="baseline"/>
        </w:rPr>
      </w:pPr>
      <w:r w:rsidDel="00000000" w:rsidR="00000000" w:rsidRPr="00000000">
        <w:rPr>
          <w:vertAlign w:val="baseline"/>
          <w:rtl w:val="0"/>
        </w:rPr>
        <w:t xml:space="preserve">Като Главен архитект на Община E. П. Стефан Аспарухов е изготвил и представил по гр. дело № 938/ 2015 г. по описа на Районен съд- град E.П. Становище с рег. № П-02-31538/12/ 13.05.2019 г. и скица-проект за делба на УПИ IV-425, кв. 48, по регулационния план на с. *****, община E.П., с която е онагледил вариант на разделяне на имота при несъществуване на сграда на допълващо застрояване в дъното на имота.</w:t>
      </w:r>
    </w:p>
    <w:p w:rsidR="00000000" w:rsidDel="00000000" w:rsidP="00000000" w:rsidRDefault="00000000" w:rsidRPr="00000000" w14:paraId="0000001A">
      <w:pPr>
        <w:ind w:right="-284" w:firstLine="567"/>
        <w:jc w:val="both"/>
        <w:rPr>
          <w:vertAlign w:val="baseline"/>
        </w:rPr>
      </w:pPr>
      <w:r w:rsidDel="00000000" w:rsidR="00000000" w:rsidRPr="00000000">
        <w:rPr>
          <w:vertAlign w:val="baseline"/>
          <w:rtl w:val="0"/>
        </w:rPr>
        <w:t xml:space="preserve">От справка в НБД „Население“ не се установи родство между Стефан Аспарухов с ЕГН</w:t>
      </w:r>
      <w:r w:rsidDel="00000000" w:rsidR="00000000" w:rsidRPr="00000000">
        <w:rPr>
          <w:rFonts w:ascii="Arimo" w:cs="Arimo" w:eastAsia="Arimo" w:hAnsi="Arimo"/>
          <w:color w:val="333333"/>
          <w:vertAlign w:val="baseline"/>
          <w:rtl w:val="0"/>
        </w:rPr>
        <w:t xml:space="preserve"> </w:t>
      </w:r>
      <w:hyperlink r:id="rId6">
        <w:r w:rsidDel="00000000" w:rsidR="00000000" w:rsidRPr="00000000">
          <w:rPr>
            <w:color w:val="000000"/>
            <w:u w:val="none"/>
            <w:vertAlign w:val="baseline"/>
            <w:rtl w:val="0"/>
          </w:rPr>
          <w:t xml:space="preserve">*****</w:t>
        </w:r>
      </w:hyperlink>
      <w:r w:rsidDel="00000000" w:rsidR="00000000" w:rsidRPr="00000000">
        <w:rPr>
          <w:vertAlign w:val="baseline"/>
          <w:rtl w:val="0"/>
        </w:rPr>
        <w:t xml:space="preserve"> и Е. Н. Ц. – страна по гр.д. № 938/ 2015 г. по описа на РС – E.П. </w:t>
      </w:r>
    </w:p>
    <w:p w:rsidR="00000000" w:rsidDel="00000000" w:rsidP="00000000" w:rsidRDefault="00000000" w:rsidRPr="00000000" w14:paraId="0000001B">
      <w:pPr>
        <w:ind w:right="-284" w:firstLine="567"/>
        <w:jc w:val="both"/>
        <w:rPr>
          <w:sz w:val="16"/>
          <w:szCs w:val="16"/>
          <w:highlight w:val="yellow"/>
          <w:vertAlign w:val="baseline"/>
        </w:rPr>
      </w:pPr>
      <w:r w:rsidDel="00000000" w:rsidR="00000000" w:rsidRPr="00000000">
        <w:rPr>
          <w:rtl w:val="0"/>
        </w:rPr>
      </w:r>
    </w:p>
    <w:p w:rsidR="00000000" w:rsidDel="00000000" w:rsidP="00000000" w:rsidRDefault="00000000" w:rsidRPr="00000000" w14:paraId="0000001C">
      <w:pPr>
        <w:ind w:firstLine="567"/>
        <w:rPr>
          <w:i w:val="0"/>
          <w:iCs w:val="0"/>
          <w:vertAlign w:val="baseline"/>
        </w:rPr>
      </w:pPr>
      <w:r w:rsidDel="00000000" w:rsidR="00000000" w:rsidRPr="00000000">
        <w:rPr>
          <w:i w:val="1"/>
          <w:iCs w:val="1"/>
          <w:vertAlign w:val="baseline"/>
          <w:rtl w:val="0"/>
        </w:rPr>
        <w:t xml:space="preserve">При така установената фактическа обстановка, Комисията за противодействие на корупцията и за отнемане на незаконно придобитото имущество стигна до следните правни изводи:</w:t>
      </w:r>
      <w:r w:rsidDel="00000000" w:rsidR="00000000" w:rsidRPr="00000000">
        <w:rPr>
          <w:rtl w:val="0"/>
        </w:rPr>
      </w:r>
    </w:p>
    <w:p w:rsidR="00000000" w:rsidDel="00000000" w:rsidP="00000000" w:rsidRDefault="00000000" w:rsidRPr="00000000" w14:paraId="0000001D">
      <w:pPr>
        <w:ind w:firstLine="567"/>
        <w:jc w:val="center"/>
        <w:rPr>
          <w:i w:val="0"/>
          <w:iCs w:val="0"/>
          <w:sz w:val="16"/>
          <w:szCs w:val="16"/>
          <w:vertAlign w:val="baseline"/>
        </w:rPr>
      </w:pPr>
      <w:r w:rsidDel="00000000" w:rsidR="00000000" w:rsidRPr="00000000">
        <w:rPr>
          <w:rtl w:val="0"/>
        </w:rPr>
      </w:r>
    </w:p>
    <w:p w:rsidR="00000000" w:rsidDel="00000000" w:rsidP="00000000" w:rsidRDefault="00000000" w:rsidRPr="00000000" w14:paraId="0000001E">
      <w:pPr>
        <w:ind w:firstLine="708"/>
        <w:jc w:val="both"/>
        <w:rPr>
          <w:vertAlign w:val="baseline"/>
        </w:rPr>
      </w:pPr>
      <w:r w:rsidDel="00000000" w:rsidR="00000000" w:rsidRPr="00000000">
        <w:rPr>
          <w:vertAlign w:val="baseline"/>
          <w:rtl w:val="0"/>
        </w:rPr>
        <w:t xml:space="preserve">За да е осъществен конфликт на интереси по смисъла на чл.2 от ЗПУКИ (отм.)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1F">
      <w:pPr>
        <w:ind w:firstLine="708"/>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чл.2 от ЗПУКИ (отм.), респективно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0">
      <w:pPr>
        <w:ind w:firstLine="708"/>
        <w:jc w:val="both"/>
        <w:rPr>
          <w:vertAlign w:val="baseline"/>
        </w:rPr>
      </w:pPr>
      <w:r w:rsidDel="00000000" w:rsidR="00000000" w:rsidRPr="00000000">
        <w:rPr>
          <w:color w:val="000000"/>
          <w:vertAlign w:val="baseline"/>
          <w:rtl w:val="0"/>
        </w:rPr>
        <w:t xml:space="preserve">В качеството си на </w:t>
      </w:r>
      <w:r w:rsidDel="00000000" w:rsidR="00000000" w:rsidRPr="00000000">
        <w:rPr>
          <w:vertAlign w:val="baseline"/>
          <w:rtl w:val="0"/>
        </w:rPr>
        <w:t xml:space="preserve">Главен архитект на Община E.П. Стефан В. Аспарухов е </w:t>
      </w:r>
      <w:r w:rsidDel="00000000" w:rsidR="00000000" w:rsidRPr="00000000">
        <w:rPr>
          <w:color w:val="000000"/>
          <w:vertAlign w:val="baseline"/>
          <w:rtl w:val="0"/>
        </w:rPr>
        <w:t xml:space="preserve">лице, заемащо </w:t>
      </w:r>
      <w:r w:rsidDel="00000000" w:rsidR="00000000" w:rsidRPr="00000000">
        <w:rPr>
          <w:vertAlign w:val="baseline"/>
          <w:rtl w:val="0"/>
        </w:rPr>
        <w:t xml:space="preserve">висша публична длъжност по смисъла на чл. 6, ал. 1, т. 32 от ЗПКОНПИ.</w:t>
      </w:r>
    </w:p>
    <w:p w:rsidR="00000000" w:rsidDel="00000000" w:rsidP="00000000" w:rsidRDefault="00000000" w:rsidRPr="00000000" w14:paraId="00000021">
      <w:pPr>
        <w:ind w:firstLine="708"/>
        <w:jc w:val="both"/>
        <w:rPr>
          <w:vertAlign w:val="baseline"/>
        </w:rPr>
      </w:pPr>
      <w:r w:rsidDel="00000000" w:rsidR="00000000" w:rsidRPr="00000000">
        <w:rPr>
          <w:vertAlign w:val="baseline"/>
          <w:rtl w:val="0"/>
        </w:rPr>
        <w:t xml:space="preserve">От справка в НБД „Население“ не се установи родство на Стефан Аспарухов с Е.Н.Ц., което води и до липсата на свързаност помежду им по смисъла на §1, т.15, б. „а“ от ДР на ЗПКОНПИ.</w:t>
      </w:r>
    </w:p>
    <w:p w:rsidR="00000000" w:rsidDel="00000000" w:rsidP="00000000" w:rsidRDefault="00000000" w:rsidRPr="00000000" w14:paraId="00000022">
      <w:pPr>
        <w:ind w:firstLine="708"/>
        <w:jc w:val="both"/>
        <w:rPr>
          <w:vertAlign w:val="baseline"/>
        </w:rPr>
      </w:pPr>
      <w:r w:rsidDel="00000000" w:rsidR="00000000" w:rsidRPr="00000000">
        <w:rPr>
          <w:vertAlign w:val="baseline"/>
          <w:rtl w:val="0"/>
        </w:rPr>
        <w:t xml:space="preserve">Аспарухов не притежава дялове от капитала на търговски дружества, нито участва в управителните или контролни органи на такива. </w:t>
      </w:r>
    </w:p>
    <w:p w:rsidR="00000000" w:rsidDel="00000000" w:rsidP="00000000" w:rsidRDefault="00000000" w:rsidRPr="00000000" w14:paraId="00000023">
      <w:pPr>
        <w:ind w:firstLine="708"/>
        <w:jc w:val="both"/>
        <w:rPr>
          <w:vertAlign w:val="baseline"/>
        </w:rPr>
      </w:pPr>
      <w:r w:rsidDel="00000000" w:rsidR="00000000" w:rsidRPr="00000000">
        <w:rPr>
          <w:color w:val="000000"/>
          <w:shd w:fill="fefefe" w:val="clear"/>
          <w:vertAlign w:val="baseline"/>
          <w:rtl w:val="0"/>
        </w:rPr>
        <w:t xml:space="preserve">Съгласно чл.5, ал.3 от ЗУТ Главният архитект ръководи, координира и контролира дейностите по устройственото планиране, проектирането и строителството на съответната територия, координира и контролира дейността на звената за изпълнение на функциите и задачите по този закон и издава административни актове съобразно правомощията, предоставени му по този закон. </w:t>
      </w:r>
      <w:r w:rsidDel="00000000" w:rsidR="00000000" w:rsidRPr="00000000">
        <w:rPr>
          <w:rtl w:val="0"/>
        </w:rPr>
      </w:r>
    </w:p>
    <w:p w:rsidR="00000000" w:rsidDel="00000000" w:rsidP="00000000" w:rsidRDefault="00000000" w:rsidRPr="00000000" w14:paraId="00000024">
      <w:pPr>
        <w:shd w:fill="fefefe" w:val="clear"/>
        <w:ind w:firstLine="708"/>
        <w:jc w:val="both"/>
        <w:rPr>
          <w:color w:val="000000"/>
          <w:vertAlign w:val="baseline"/>
        </w:rPr>
      </w:pPr>
      <w:r w:rsidDel="00000000" w:rsidR="00000000" w:rsidRPr="00000000">
        <w:rPr>
          <w:color w:val="000000"/>
          <w:vertAlign w:val="baseline"/>
          <w:rtl w:val="0"/>
        </w:rPr>
        <w:t xml:space="preserve">Съгласно чл.201, ал.1 от ЗУТ, в случаите на съдебна делба на урегулиран поземлен имот с цел образуване на нови урегулирани поземлени имоти съдът изисква становище от общинската администрация относно поделяемостта на имота. Когато урегулираният поземлен имот е поделяем, главният архитект на общината с мотивирано предписание до страните нарежда да внесат проект за изменение на действащия план за регулация, като заповедта за изменение на плана за регулация влиза в сила по реда на чл. 15, ал. 6 и се прилага след влизане в сила на съдебното решение за делба (ал.3). </w:t>
      </w:r>
    </w:p>
    <w:p w:rsidR="00000000" w:rsidDel="00000000" w:rsidP="00000000" w:rsidRDefault="00000000" w:rsidRPr="00000000" w14:paraId="00000025">
      <w:pPr>
        <w:ind w:firstLine="708"/>
        <w:jc w:val="both"/>
        <w:rPr>
          <w:color w:val="000000"/>
          <w:vertAlign w:val="baseline"/>
        </w:rPr>
      </w:pPr>
      <w:r w:rsidDel="00000000" w:rsidR="00000000" w:rsidRPr="00000000">
        <w:rPr>
          <w:color w:val="000000"/>
          <w:vertAlign w:val="baseline"/>
          <w:rtl w:val="0"/>
        </w:rPr>
        <w:t xml:space="preserve">Твърденията в сигнала по същество касаят съдебен спор и неговото разрешаване, в това число кой от предложените проекти за </w:t>
      </w:r>
      <w:r w:rsidDel="00000000" w:rsidR="00000000" w:rsidRPr="00000000">
        <w:rPr>
          <w:vertAlign w:val="baseline"/>
          <w:rtl w:val="0"/>
        </w:rPr>
        <w:t xml:space="preserve">изменение на действащия план за регулация и обособяването на два нови урегулирани поземлени имота от процесния</w:t>
      </w:r>
      <w:r w:rsidDel="00000000" w:rsidR="00000000" w:rsidRPr="00000000">
        <w:rPr>
          <w:color w:val="000000"/>
          <w:vertAlign w:val="baseline"/>
          <w:rtl w:val="0"/>
        </w:rPr>
        <w:t xml:space="preserve"> имот ще бъде избран, е изцяло от компетентността на съда.</w:t>
      </w:r>
    </w:p>
    <w:p w:rsidR="00000000" w:rsidDel="00000000" w:rsidP="00000000" w:rsidRDefault="00000000" w:rsidRPr="00000000" w14:paraId="00000026">
      <w:pPr>
        <w:ind w:firstLine="708"/>
        <w:jc w:val="both"/>
        <w:rPr>
          <w:vertAlign w:val="baseline"/>
        </w:rPr>
      </w:pPr>
      <w:r w:rsidDel="00000000" w:rsidR="00000000" w:rsidRPr="00000000">
        <w:rPr>
          <w:vertAlign w:val="baseline"/>
          <w:rtl w:val="0"/>
        </w:rPr>
        <w:t xml:space="preserve">Като е издал Удостоверение с рег. № П-02-31538/2/02.07.2018 г., с което е  удостоверил, че УПИ IV-425, кв. 48, по регулационния план на с. *****, община E.П., е поделяем по смисъла на чл.19, ал.4 от ЗУТ и като е изготвил и представил по гр. дело № 938/ 2015 г. по описа на Районен съд - град E.П., Становище с рег. № П-02-31538/12/ 13.05.2019 г. и скица-проект за делба на УПИ IV-425, кв. 48, по регулационния план на с. *****, община E.П., Стефан Аспарухов е упражнил свои правомощия по служба.</w:t>
      </w:r>
    </w:p>
    <w:p w:rsidR="00000000" w:rsidDel="00000000" w:rsidP="00000000" w:rsidRDefault="00000000" w:rsidRPr="00000000" w14:paraId="00000027">
      <w:pPr>
        <w:ind w:firstLine="567"/>
        <w:jc w:val="both"/>
        <w:rPr>
          <w:vertAlign w:val="baseline"/>
        </w:rPr>
      </w:pPr>
      <w:r w:rsidDel="00000000" w:rsidR="00000000" w:rsidRPr="00000000">
        <w:rPr>
          <w:vertAlign w:val="baseline"/>
          <w:rtl w:val="0"/>
        </w:rPr>
        <w:t xml:space="preserve"> Следователно, налице са две от предпоставките за наличие на „конфликт на интереси“ – лице, заемащо висша публична длъжност и упражнени от същото правомощия по служба. Липсва обаче третата предпоставка – наличието на частен интерес от упражнените правомощия по служба.</w:t>
      </w:r>
    </w:p>
    <w:p w:rsidR="00000000" w:rsidDel="00000000" w:rsidP="00000000" w:rsidRDefault="00000000" w:rsidRPr="00000000" w14:paraId="00000028">
      <w:pPr>
        <w:ind w:firstLine="567"/>
        <w:jc w:val="both"/>
        <w:rPr>
          <w:color w:val="000000"/>
          <w:shd w:fill="fefefe" w:val="clear"/>
          <w:vertAlign w:val="baseline"/>
        </w:rPr>
      </w:pPr>
      <w:r w:rsidDel="00000000" w:rsidR="00000000" w:rsidRPr="00000000">
        <w:rPr>
          <w:vertAlign w:val="baseline"/>
          <w:rtl w:val="0"/>
        </w:rPr>
        <w:t xml:space="preserve"> Това е така, тъй като упражнените от Аспарухов правомощия по служба не касаят негови собствени или на свързано с него лице имоти или интереси, следователно не поставят в привилегировано положение и не създават облага по смисъла на чл.52 от ЗПКОНПИ нито за Аспарухов, нито за свързано с него лице. </w:t>
      </w:r>
      <w:r w:rsidDel="00000000" w:rsidR="00000000" w:rsidRPr="00000000">
        <w:rPr>
          <w:rtl w:val="0"/>
        </w:rPr>
      </w:r>
    </w:p>
    <w:p w:rsidR="00000000" w:rsidDel="00000000" w:rsidP="00000000" w:rsidRDefault="00000000" w:rsidRPr="00000000" w14:paraId="00000029">
      <w:pPr>
        <w:ind w:firstLine="567"/>
        <w:jc w:val="both"/>
        <w:rPr>
          <w:vertAlign w:val="baseline"/>
        </w:rPr>
      </w:pPr>
      <w:r w:rsidDel="00000000" w:rsidR="00000000" w:rsidRPr="00000000">
        <w:rPr>
          <w:vertAlign w:val="baseline"/>
          <w:rtl w:val="0"/>
        </w:rPr>
        <w:t xml:space="preserve"> </w:t>
      </w:r>
    </w:p>
    <w:p w:rsidR="00000000" w:rsidDel="00000000" w:rsidP="00000000" w:rsidRDefault="00000000" w:rsidRPr="00000000" w14:paraId="0000002A">
      <w:pPr>
        <w:ind w:firstLine="567"/>
        <w:jc w:val="both"/>
        <w:rPr>
          <w:vertAlign w:val="baseline"/>
        </w:rPr>
      </w:pPr>
      <w:r w:rsidDel="00000000" w:rsidR="00000000" w:rsidRPr="00000000">
        <w:rPr>
          <w:vertAlign w:val="baseline"/>
          <w:rtl w:val="0"/>
        </w:rPr>
        <w:t xml:space="preserve">Липсата на частен интерес от упражнените правомощия по служба води до липса на конфликт на интереси. </w:t>
      </w:r>
    </w:p>
    <w:p w:rsidR="00000000" w:rsidDel="00000000" w:rsidP="00000000" w:rsidRDefault="00000000" w:rsidRPr="00000000" w14:paraId="0000002B">
      <w:pPr>
        <w:ind w:firstLine="567"/>
        <w:jc w:val="both"/>
        <w:rPr>
          <w:vertAlign w:val="baseline"/>
        </w:rPr>
      </w:pPr>
      <w:r w:rsidDel="00000000" w:rsidR="00000000" w:rsidRPr="00000000">
        <w:rPr>
          <w:rtl w:val="0"/>
        </w:rPr>
      </w:r>
    </w:p>
    <w:p w:rsidR="00000000" w:rsidDel="00000000" w:rsidP="00000000" w:rsidRDefault="00000000" w:rsidRPr="00000000" w14:paraId="0000002C">
      <w:pPr>
        <w:ind w:firstLine="567"/>
        <w:jc w:val="both"/>
        <w:rPr>
          <w:i w:val="0"/>
          <w:iCs w:val="0"/>
          <w:vertAlign w:val="baseline"/>
        </w:rPr>
      </w:pPr>
      <w:r w:rsidDel="00000000" w:rsidR="00000000" w:rsidRPr="00000000">
        <w:rPr>
          <w:vertAlign w:val="baseline"/>
          <w:rtl w:val="0"/>
        </w:rPr>
        <w:t xml:space="preserve"> Водена от горното и на основание чл. 74, ал. 1 и ал. 2 от ЗПКОНПИ, Комисията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2D">
      <w:pPr>
        <w:ind w:left="3539" w:right="-1" w:firstLine="708.9999999999998"/>
        <w:rPr>
          <w:b w:val="0"/>
          <w:bCs w:val="0"/>
          <w:sz w:val="16"/>
          <w:szCs w:val="16"/>
          <w:vertAlign w:val="baseline"/>
        </w:rPr>
      </w:pPr>
      <w:r w:rsidDel="00000000" w:rsidR="00000000" w:rsidRPr="00000000">
        <w:rPr>
          <w:rtl w:val="0"/>
        </w:rPr>
      </w:r>
    </w:p>
    <w:p w:rsidR="00000000" w:rsidDel="00000000" w:rsidP="00000000" w:rsidRDefault="00000000" w:rsidRPr="00000000" w14:paraId="0000002E">
      <w:pPr>
        <w:ind w:left="3539" w:right="-1" w:firstLine="708.9999999999998"/>
        <w:rPr>
          <w:b w:val="0"/>
          <w:bCs w:val="0"/>
          <w:vertAlign w:val="baseline"/>
        </w:rPr>
      </w:pPr>
      <w:r w:rsidDel="00000000" w:rsidR="00000000" w:rsidRPr="00000000">
        <w:rPr>
          <w:rtl w:val="0"/>
        </w:rPr>
      </w:r>
    </w:p>
    <w:p w:rsidR="00000000" w:rsidDel="00000000" w:rsidP="00000000" w:rsidRDefault="00000000" w:rsidRPr="00000000" w14:paraId="0000002F">
      <w:pPr>
        <w:ind w:left="3539" w:right="-1" w:firstLine="708.9999999999998"/>
        <w:rPr>
          <w:b w:val="0"/>
          <w:bCs w:val="0"/>
          <w:vertAlign w:val="baseline"/>
        </w:rPr>
      </w:pPr>
      <w:r w:rsidDel="00000000" w:rsidR="00000000" w:rsidRPr="00000000">
        <w:rPr>
          <w:b w:val="1"/>
          <w:bCs w:val="1"/>
          <w:vertAlign w:val="baseline"/>
          <w:rtl w:val="0"/>
        </w:rPr>
        <w:t xml:space="preserve">Р Е Ш И:</w:t>
      </w:r>
      <w:r w:rsidDel="00000000" w:rsidR="00000000" w:rsidRPr="00000000">
        <w:rPr>
          <w:vertAlign w:val="baseline"/>
          <w:rtl w:val="0"/>
        </w:rPr>
        <w:t xml:space="preserve"> </w:t>
      </w:r>
      <w:r w:rsidDel="00000000" w:rsidR="00000000" w:rsidRPr="00000000">
        <w:rPr>
          <w:rtl w:val="0"/>
        </w:rPr>
      </w:r>
    </w:p>
    <w:p w:rsidR="00000000" w:rsidDel="00000000" w:rsidP="00000000" w:rsidRDefault="00000000" w:rsidRPr="00000000" w14:paraId="00000030">
      <w:pPr>
        <w:ind w:right="-1"/>
        <w:jc w:val="both"/>
        <w:rPr>
          <w:b w:val="0"/>
          <w:bCs w:val="0"/>
          <w:sz w:val="16"/>
          <w:szCs w:val="16"/>
          <w:vertAlign w:val="baseline"/>
        </w:rPr>
      </w:pPr>
      <w:r w:rsidDel="00000000" w:rsidR="00000000" w:rsidRPr="00000000">
        <w:rPr>
          <w:rtl w:val="0"/>
        </w:rPr>
      </w:r>
    </w:p>
    <w:p w:rsidR="00000000" w:rsidDel="00000000" w:rsidP="00000000" w:rsidRDefault="00000000" w:rsidRPr="00000000" w14:paraId="00000031">
      <w:pPr>
        <w:ind w:right="-1"/>
        <w:jc w:val="both"/>
        <w:rPr>
          <w:b w:val="0"/>
          <w:bCs w:val="0"/>
          <w:sz w:val="16"/>
          <w:szCs w:val="16"/>
          <w:vertAlign w:val="baseline"/>
        </w:rPr>
      </w:pPr>
      <w:r w:rsidDel="00000000" w:rsidR="00000000" w:rsidRPr="00000000">
        <w:rPr>
          <w:rtl w:val="0"/>
        </w:rPr>
      </w:r>
    </w:p>
    <w:p w:rsidR="00000000" w:rsidDel="00000000" w:rsidP="00000000" w:rsidRDefault="00000000" w:rsidRPr="00000000" w14:paraId="00000032">
      <w:pPr>
        <w:ind w:firstLine="567"/>
        <w:jc w:val="both"/>
        <w:rPr>
          <w:vertAlign w:val="baseline"/>
        </w:rPr>
      </w:pPr>
      <w:r w:rsidDel="00000000" w:rsidR="00000000" w:rsidRPr="00000000">
        <w:rPr>
          <w:b w:val="1"/>
          <w:bCs w:val="1"/>
          <w:vertAlign w:val="baseline"/>
          <w:rtl w:val="0"/>
        </w:rPr>
        <w:t xml:space="preserve"> НЕ УСТАНОВЯВА</w:t>
      </w:r>
      <w:r w:rsidDel="00000000" w:rsidR="00000000" w:rsidRPr="00000000">
        <w:rPr>
          <w:vertAlign w:val="baseline"/>
          <w:rtl w:val="0"/>
        </w:rPr>
        <w:t xml:space="preserve"> конфликт на интереси по отношение на Стефан В. Аспарухов, ЕГН</w:t>
      </w:r>
      <w:r w:rsidDel="00000000" w:rsidR="00000000" w:rsidRPr="00000000">
        <w:rPr>
          <w:rFonts w:ascii="Arimo" w:cs="Arimo" w:eastAsia="Arimo" w:hAnsi="Arimo"/>
          <w:color w:val="333333"/>
          <w:vertAlign w:val="baseline"/>
          <w:rtl w:val="0"/>
        </w:rPr>
        <w:t xml:space="preserve"> </w:t>
      </w:r>
      <w:hyperlink r:id="rId7">
        <w:r w:rsidDel="00000000" w:rsidR="00000000" w:rsidRPr="00000000">
          <w:rPr>
            <w:color w:val="000000"/>
            <w:u w:val="none"/>
            <w:vertAlign w:val="baseline"/>
            <w:rtl w:val="0"/>
          </w:rPr>
          <w:t xml:space="preserve">*****</w:t>
        </w:r>
      </w:hyperlink>
      <w:r w:rsidDel="00000000" w:rsidR="00000000" w:rsidRPr="00000000">
        <w:rPr>
          <w:vertAlign w:val="baseline"/>
          <w:rtl w:val="0"/>
        </w:rPr>
        <w:t xml:space="preserve"> - Главен архитект на Община E.П. и в това му качество </w:t>
      </w:r>
      <w:r w:rsidDel="00000000" w:rsidR="00000000" w:rsidRPr="00000000">
        <w:rPr>
          <w:color w:val="000000"/>
          <w:vertAlign w:val="baseline"/>
          <w:rtl w:val="0"/>
        </w:rPr>
        <w:t xml:space="preserve">лице, заемащо </w:t>
      </w:r>
      <w:r w:rsidDel="00000000" w:rsidR="00000000" w:rsidRPr="00000000">
        <w:rPr>
          <w:vertAlign w:val="baseline"/>
          <w:rtl w:val="0"/>
        </w:rPr>
        <w:t xml:space="preserve">висша публична длъжност по смисъла на чл. 6, ал. 1, т. 32 от ЗПКОНПИ, във връзка с издадени от него Удостоверение с рег. № П-02-31538/2/02.07.2018 г. и Становище с рег. № П-02-31538/12/ 13.05.2019 г., с приложена скица-проект за делба, поради липса на частен интерес, негов или на свързано с него лице, по смисъла по §1, т.15, буква “а“ от ДР на ЗПКОНПИ. </w:t>
      </w:r>
    </w:p>
    <w:p w:rsidR="00000000" w:rsidDel="00000000" w:rsidP="00000000" w:rsidRDefault="00000000" w:rsidRPr="00000000" w14:paraId="00000033">
      <w:pPr>
        <w:ind w:firstLine="567"/>
        <w:jc w:val="both"/>
        <w:rPr>
          <w:vertAlign w:val="baseline"/>
        </w:rPr>
      </w:pPr>
      <w:r w:rsidDel="00000000" w:rsidR="00000000" w:rsidRPr="00000000">
        <w:rPr>
          <w:rtl w:val="0"/>
        </w:rPr>
      </w:r>
    </w:p>
    <w:p w:rsidR="00000000" w:rsidDel="00000000" w:rsidP="00000000" w:rsidRDefault="00000000" w:rsidRPr="00000000" w14:paraId="00000034">
      <w:pPr>
        <w:ind w:firstLine="567"/>
        <w:jc w:val="both"/>
        <w:rPr>
          <w:vertAlign w:val="baseline"/>
        </w:rPr>
      </w:pPr>
      <w:r w:rsidDel="00000000" w:rsidR="00000000" w:rsidRPr="00000000">
        <w:rPr>
          <w:vertAlign w:val="baseline"/>
          <w:rtl w:val="0"/>
        </w:rPr>
        <w:t xml:space="preserve"> Препис от решението да се изпрати на Окръжна прокуратура - София, с оглед преценка за реализиране на правомощията по чл. 76,  ал. 2 от ЗПКОНПИ.</w:t>
      </w:r>
    </w:p>
    <w:p w:rsidR="00000000" w:rsidDel="00000000" w:rsidP="00000000" w:rsidRDefault="00000000" w:rsidRPr="00000000" w14:paraId="00000035">
      <w:pPr>
        <w:ind w:firstLine="567"/>
        <w:jc w:val="both"/>
        <w:rPr>
          <w:b w:val="0"/>
          <w:bCs w:val="0"/>
          <w:color w:val="000000"/>
          <w:vertAlign w:val="baseline"/>
        </w:rPr>
      </w:pPr>
      <w:r w:rsidDel="00000000" w:rsidR="00000000" w:rsidRPr="00000000">
        <w:rPr>
          <w:rtl w:val="0"/>
        </w:rPr>
      </w:r>
    </w:p>
    <w:p w:rsidR="00000000" w:rsidDel="00000000" w:rsidP="00000000" w:rsidRDefault="00000000" w:rsidRPr="00000000" w14:paraId="00000036">
      <w:pPr>
        <w:ind w:firstLine="567"/>
        <w:jc w:val="both"/>
        <w:rPr>
          <w:vertAlign w:val="baseline"/>
        </w:rPr>
      </w:pPr>
      <w:r w:rsidDel="00000000" w:rsidR="00000000" w:rsidRPr="00000000">
        <w:rPr>
          <w:b w:val="1"/>
          <w:bCs w:val="1"/>
          <w:vertAlign w:val="baseline"/>
          <w:rtl w:val="0"/>
        </w:rPr>
        <w:t xml:space="preserve"> С РЕШЕНИЕТО ДА БЪДЕ ЗАПОЗНАТА</w:t>
      </w:r>
      <w:r w:rsidDel="00000000" w:rsidR="00000000" w:rsidRPr="00000000">
        <w:rPr>
          <w:vertAlign w:val="baseline"/>
          <w:rtl w:val="0"/>
        </w:rPr>
        <w:t xml:space="preserve"> Дирекция „Противодействие на корупцията“.</w:t>
      </w:r>
    </w:p>
    <w:p w:rsidR="00000000" w:rsidDel="00000000" w:rsidP="00000000" w:rsidRDefault="00000000" w:rsidRPr="00000000" w14:paraId="00000037">
      <w:pPr>
        <w:tabs>
          <w:tab w:val="left" w:leader="none" w:pos="6300"/>
        </w:tabs>
        <w:rPr>
          <w:b w:val="0"/>
          <w:bCs w:val="0"/>
          <w:vertAlign w:val="baseline"/>
        </w:rPr>
      </w:pP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38">
      <w:pPr>
        <w:tabs>
          <w:tab w:val="left" w:leader="none" w:pos="6300"/>
        </w:tabs>
        <w:rPr>
          <w:b w:val="0"/>
          <w:bCs w:val="0"/>
          <w:vertAlign w:val="baseline"/>
        </w:rPr>
      </w:pP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39">
      <w:pPr>
        <w:tabs>
          <w:tab w:val="left" w:leader="none" w:pos="6300"/>
        </w:tabs>
        <w:ind w:firstLine="567"/>
        <w:rPr>
          <w:b w:val="0"/>
          <w:bCs w:val="0"/>
          <w:vertAlign w:val="baseline"/>
        </w:rPr>
      </w:pPr>
      <w:r w:rsidDel="00000000" w:rsidR="00000000" w:rsidRPr="00000000">
        <w:rPr>
          <w:b w:val="1"/>
          <w:bCs w:val="1"/>
          <w:vertAlign w:val="baseline"/>
          <w:rtl w:val="0"/>
        </w:rPr>
        <w:t xml:space="preserve">                            КОМИСИЯ:</w:t>
      </w:r>
      <w:r w:rsidDel="00000000" w:rsidR="00000000" w:rsidRPr="00000000">
        <w:rPr>
          <w:rtl w:val="0"/>
        </w:rPr>
      </w:r>
    </w:p>
    <w:p w:rsidR="00000000" w:rsidDel="00000000" w:rsidP="00000000" w:rsidRDefault="00000000" w:rsidRPr="00000000" w14:paraId="0000003A">
      <w:pPr>
        <w:rPr>
          <w:b w:val="0"/>
          <w:bCs w:val="0"/>
          <w:vertAlign w:val="baseline"/>
        </w:rPr>
      </w:pPr>
      <w:r w:rsidDel="00000000" w:rsidR="00000000" w:rsidRPr="00000000">
        <w:rPr>
          <w:rtl w:val="0"/>
        </w:rPr>
      </w:r>
    </w:p>
    <w:p w:rsidR="00000000" w:rsidDel="00000000" w:rsidP="00000000" w:rsidRDefault="00000000" w:rsidRPr="00000000" w14:paraId="0000003B">
      <w:pPr>
        <w:ind w:left="1615" w:firstLine="1985"/>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3C">
      <w:pPr>
        <w:ind w:firstLine="1985"/>
        <w:rPr>
          <w:b w:val="0"/>
          <w:bCs w:val="0"/>
          <w:vertAlign w:val="baseline"/>
        </w:rPr>
      </w:pPr>
      <w:r w:rsidDel="00000000" w:rsidR="00000000" w:rsidRPr="00000000">
        <w:rPr>
          <w:rtl w:val="0"/>
        </w:rPr>
      </w:r>
    </w:p>
    <w:p w:rsidR="00000000" w:rsidDel="00000000" w:rsidP="00000000" w:rsidRDefault="00000000" w:rsidRPr="00000000" w14:paraId="0000003D">
      <w:pPr>
        <w:rPr>
          <w:b w:val="0"/>
          <w:bCs w:val="0"/>
          <w:sz w:val="16"/>
          <w:szCs w:val="16"/>
          <w:vertAlign w:val="baseline"/>
        </w:rPr>
      </w:pPr>
      <w:r w:rsidDel="00000000" w:rsidR="00000000" w:rsidRPr="00000000">
        <w:rPr>
          <w:rtl w:val="0"/>
        </w:rPr>
      </w:r>
    </w:p>
    <w:p w:rsidR="00000000" w:rsidDel="00000000" w:rsidP="00000000" w:rsidRDefault="00000000" w:rsidRPr="00000000" w14:paraId="0000003E">
      <w:pPr>
        <w:ind w:left="1615" w:firstLine="1985"/>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3F">
      <w:pPr>
        <w:tabs>
          <w:tab w:val="left" w:leader="none" w:pos="5400"/>
        </w:tabs>
        <w:ind w:firstLine="1985"/>
        <w:jc w:val="both"/>
        <w:rPr>
          <w:b w:val="0"/>
          <w:bCs w:val="0"/>
          <w:sz w:val="16"/>
          <w:szCs w:val="16"/>
          <w:vertAlign w:val="baseline"/>
        </w:rPr>
      </w:pPr>
      <w:r w:rsidDel="00000000" w:rsidR="00000000" w:rsidRPr="00000000">
        <w:rPr>
          <w:rtl w:val="0"/>
        </w:rPr>
      </w:r>
    </w:p>
    <w:p w:rsidR="00000000" w:rsidDel="00000000" w:rsidP="00000000" w:rsidRDefault="00000000" w:rsidRPr="00000000" w14:paraId="00000040">
      <w:pPr>
        <w:tabs>
          <w:tab w:val="left" w:leader="none" w:pos="5400"/>
        </w:tabs>
        <w:ind w:firstLine="1985"/>
        <w:jc w:val="both"/>
        <w:rPr>
          <w:b w:val="0"/>
          <w:bCs w:val="0"/>
          <w:sz w:val="16"/>
          <w:szCs w:val="16"/>
          <w:vertAlign w:val="baseline"/>
        </w:rPr>
      </w:pPr>
      <w:r w:rsidDel="00000000" w:rsidR="00000000" w:rsidRPr="00000000">
        <w:rPr>
          <w:rtl w:val="0"/>
        </w:rPr>
      </w:r>
    </w:p>
    <w:p w:rsidR="00000000" w:rsidDel="00000000" w:rsidP="00000000" w:rsidRDefault="00000000" w:rsidRPr="00000000" w14:paraId="00000041">
      <w:pPr>
        <w:tabs>
          <w:tab w:val="left" w:leader="none" w:pos="5400"/>
        </w:tabs>
        <w:ind w:firstLine="1985"/>
        <w:jc w:val="both"/>
        <w:rPr>
          <w:b w:val="0"/>
          <w:bCs w:val="0"/>
          <w:vertAlign w:val="baseline"/>
        </w:rPr>
      </w:pPr>
      <w:r w:rsidDel="00000000" w:rsidR="00000000" w:rsidRPr="00000000">
        <w:rPr>
          <w:b w:val="1"/>
          <w:bCs w:val="1"/>
          <w:vertAlign w:val="baseline"/>
          <w:rtl w:val="0"/>
        </w:rPr>
        <w:t xml:space="preserve">                          Член:…………………………………./Силвия Къдрева/</w:t>
      </w:r>
      <w:r w:rsidDel="00000000" w:rsidR="00000000" w:rsidRPr="00000000">
        <w:rPr>
          <w:rtl w:val="0"/>
        </w:rPr>
      </w:r>
    </w:p>
    <w:p w:rsidR="00000000" w:rsidDel="00000000" w:rsidP="00000000" w:rsidRDefault="00000000" w:rsidRPr="00000000" w14:paraId="00000042">
      <w:pPr>
        <w:tabs>
          <w:tab w:val="left" w:leader="none" w:pos="5400"/>
        </w:tabs>
        <w:spacing w:line="276" w:lineRule="auto"/>
        <w:ind w:firstLine="1985"/>
        <w:jc w:val="both"/>
        <w:rPr>
          <w:b w:val="0"/>
          <w:bCs w:val="0"/>
          <w:vertAlign w:val="baseline"/>
        </w:rPr>
      </w:pPr>
      <w:r w:rsidDel="00000000" w:rsidR="00000000" w:rsidRPr="00000000">
        <w:rPr>
          <w:rtl w:val="0"/>
        </w:rPr>
      </w:r>
    </w:p>
    <w:p w:rsidR="00000000" w:rsidDel="00000000" w:rsidP="00000000" w:rsidRDefault="00000000" w:rsidRPr="00000000" w14:paraId="00000043">
      <w:pPr>
        <w:jc w:val="both"/>
        <w:rPr>
          <w:i w:val="0"/>
          <w:iCs w:val="0"/>
          <w:u w:val="single"/>
          <w:vertAlign w:val="baseline"/>
        </w:rPr>
      </w:pPr>
      <w:r w:rsidDel="00000000" w:rsidR="00000000" w:rsidRPr="00000000">
        <w:rPr>
          <w:rtl w:val="0"/>
        </w:rPr>
      </w:r>
    </w:p>
    <w:p w:rsidR="00000000" w:rsidDel="00000000" w:rsidP="00000000" w:rsidRDefault="00000000" w:rsidRPr="00000000" w14:paraId="00000044">
      <w:pPr>
        <w:jc w:val="both"/>
        <w:rPr>
          <w:i w:val="0"/>
          <w:iCs w:val="0"/>
          <w:sz w:val="22"/>
          <w:szCs w:val="22"/>
          <w:u w:val="single"/>
          <w:vertAlign w:val="baseline"/>
        </w:rPr>
      </w:pPr>
      <w:r w:rsidDel="00000000" w:rsidR="00000000" w:rsidRPr="00000000">
        <w:rPr>
          <w:rtl w:val="0"/>
        </w:rPr>
      </w:r>
    </w:p>
    <w:p w:rsidR="00000000" w:rsidDel="00000000" w:rsidP="00000000" w:rsidRDefault="00000000" w:rsidRPr="00000000" w14:paraId="00000045">
      <w:pPr>
        <w:jc w:val="both"/>
        <w:rPr>
          <w:i w:val="0"/>
          <w:iCs w:val="0"/>
          <w:sz w:val="22"/>
          <w:szCs w:val="22"/>
          <w:u w:val="single"/>
          <w:vertAlign w:val="baseline"/>
        </w:rPr>
      </w:pPr>
      <w:r w:rsidDel="00000000" w:rsidR="00000000" w:rsidRPr="00000000">
        <w:rPr>
          <w:rtl w:val="0"/>
        </w:rPr>
      </w:r>
    </w:p>
    <w:p w:rsidR="00000000" w:rsidDel="00000000" w:rsidP="00000000" w:rsidRDefault="00000000" w:rsidRPr="00000000" w14:paraId="00000046">
      <w:pPr>
        <w:tabs>
          <w:tab w:val="left" w:leader="none" w:pos="8415"/>
        </w:tabs>
        <w:jc w:val="both"/>
        <w:rPr>
          <w:i w:val="0"/>
          <w:iCs w:val="0"/>
          <w:sz w:val="22"/>
          <w:szCs w:val="22"/>
          <w:vertAlign w:val="baseline"/>
        </w:rPr>
      </w:pPr>
      <w:r w:rsidDel="00000000" w:rsidR="00000000" w:rsidRPr="00000000">
        <w:rPr>
          <w:rtl w:val="0"/>
        </w:rPr>
      </w:r>
    </w:p>
    <w:sectPr>
      <w:headerReference r:id="rId8" w:type="first"/>
      <w:footerReference r:id="rId9" w:type="default"/>
      <w:footerReference r:id="rId10" w:type="first"/>
      <w:pgSz w:h="15840" w:w="12240" w:orient="portrait"/>
      <w:pgMar w:bottom="993" w:top="993" w:left="1276" w:right="1183" w:header="454" w:footer="44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1">
    <w:pPr>
      <w:tabs>
        <w:tab w:val="right" w:leader="none" w:pos="4153"/>
        <w:tab w:val="right" w:leader="none" w:pos="10206"/>
      </w:tabs>
      <w:jc w:val="right"/>
      <w:rP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2"/>
        <w:szCs w:val="22"/>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48">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9">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A">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4B">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4C">
          <w:pPr>
            <w:tabs>
              <w:tab w:val="center" w:leader="none" w:pos="4153"/>
              <w:tab w:val="right" w:leader="none" w:pos="8306"/>
            </w:tabs>
            <w:jc w:val="center"/>
            <w:rPr>
              <w:b w:val="0"/>
              <w:bCs w:val="0"/>
              <w:sz w:val="18"/>
              <w:szCs w:val="18"/>
              <w:u w:val="single"/>
              <w:vertAlign w:val="baseline"/>
            </w:rPr>
          </w:pPr>
          <w:r w:rsidDel="00000000" w:rsidR="00000000" w:rsidRPr="00000000">
            <w:rPr>
              <w:b w:val="1"/>
              <w:bCs w:val="1"/>
              <w:i w:val="1"/>
              <w:iCs w:val="1"/>
              <w:sz w:val="18"/>
              <w:szCs w:val="18"/>
              <w:vertAlign w:val="baseline"/>
              <w:rtl w:val="0"/>
            </w:rPr>
            <w:t xml:space="preserve">София 1000, пл. "Света Неделя" № 6,  тел: (+359 2)  9401 444, факс: (+359 2) 9401 595</w:t>
          </w:r>
          <w:r w:rsidDel="00000000" w:rsidR="00000000" w:rsidRPr="00000000">
            <w:rPr>
              <w:rtl w:val="0"/>
            </w:rPr>
          </w:r>
        </w:p>
      </w:tc>
    </w:tr>
  </w:tbl>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hyperlink" Target="https://web6.ciela.net/Search/GetSearchResultsByUrl?category=AllProducts&amp;searchPhrase=8401296806&amp;searchLevel=1&amp;onlyInForce=False&amp;onlyRepealed=False&amp;stemSearch=true&amp;offset=0" TargetMode="External"/><Relationship Id="rId7" Type="http://schemas.openxmlformats.org/officeDocument/2006/relationships/hyperlink" Target="https://web6.ciela.net/Search/GetSearchResultsByUrl?category=AllProducts&amp;searchPhrase=8401296806&amp;searchLevel=1&amp;onlyInForce=False&amp;onlyRepealed=False&amp;stemSearch=true&amp;offset=0"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