
<file path=[Content_Types].xml><?xml version="1.0" encoding="utf-8"?>
<Types xmlns="http://schemas.openxmlformats.org/package/2006/content-types">
  <Default ContentType="image/gif" Extension="gif"/>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jc w:val="center"/>
        <w:rPr>
          <w:rFonts w:ascii="Tahoma" w:cs="Tahoma" w:eastAsia="Tahoma" w:hAnsi="Tahoma"/>
          <w:color w:val="000000"/>
          <w:sz w:val="17"/>
          <w:szCs w:val="17"/>
        </w:rPr>
      </w:pPr>
      <w:r w:rsidDel="00000000" w:rsidR="00000000" w:rsidRPr="00000000">
        <w:rPr>
          <w:rFonts w:ascii="Tahoma" w:cs="Tahoma" w:eastAsia="Tahoma" w:hAnsi="Tahoma"/>
          <w:color w:val="000000"/>
          <w:sz w:val="17"/>
          <w:szCs w:val="17"/>
          <w:rtl w:val="0"/>
        </w:rPr>
        <w:br w:type="textWrapping"/>
      </w:r>
      <w:r w:rsidDel="00000000" w:rsidR="00000000" w:rsidRPr="00000000">
        <w:rPr>
          <w:rFonts w:ascii="Open Sans" w:cs="Open Sans" w:eastAsia="Open Sans" w:hAnsi="Open Sans"/>
          <w:b w:val="1"/>
          <w:bCs w:val="1"/>
          <w:color w:val="000000"/>
          <w:sz w:val="48"/>
          <w:szCs w:val="48"/>
          <w:rtl w:val="0"/>
        </w:rPr>
        <w:t xml:space="preserve">РЕШЕНИЕ</w:t>
      </w:r>
      <w:r w:rsidDel="00000000" w:rsidR="00000000" w:rsidRPr="00000000">
        <w:rPr>
          <w:rFonts w:ascii="Tahoma" w:cs="Tahoma" w:eastAsia="Tahoma" w:hAnsi="Tahoma"/>
          <w:color w:val="000000"/>
          <w:sz w:val="17"/>
          <w:szCs w:val="17"/>
          <w:rtl w:val="0"/>
        </w:rPr>
        <w:br w:type="textWrapping"/>
        <w:br w:type="textWrapping"/>
      </w:r>
      <w:r w:rsidDel="00000000" w:rsidR="00000000" w:rsidRPr="00000000">
        <w:rPr>
          <w:rFonts w:ascii="Arial Unicode MS" w:cs="Arial Unicode MS" w:eastAsia="Arial Unicode MS" w:hAnsi="Arial Unicode MS"/>
          <w:b w:val="1"/>
          <w:bCs w:val="1"/>
          <w:color w:val="000000"/>
          <w:sz w:val="36"/>
          <w:szCs w:val="36"/>
          <w:rtl w:val="0"/>
        </w:rPr>
        <w:t xml:space="preserve">№ 3262</w:t>
      </w:r>
      <w:r w:rsidDel="00000000" w:rsidR="00000000" w:rsidRPr="00000000">
        <w:rPr>
          <w:rFonts w:ascii="Tahoma" w:cs="Tahoma" w:eastAsia="Tahoma" w:hAnsi="Tahoma"/>
          <w:color w:val="000000"/>
          <w:sz w:val="17"/>
          <w:szCs w:val="17"/>
          <w:rtl w:val="0"/>
        </w:rPr>
        <w:br w:type="textWrapping"/>
      </w:r>
      <w:r w:rsidDel="00000000" w:rsidR="00000000" w:rsidRPr="00000000">
        <w:rPr>
          <w:rFonts w:ascii="Open Sans" w:cs="Open Sans" w:eastAsia="Open Sans" w:hAnsi="Open Sans"/>
          <w:b w:val="1"/>
          <w:bCs w:val="1"/>
          <w:color w:val="000000"/>
          <w:sz w:val="36"/>
          <w:szCs w:val="36"/>
          <w:rtl w:val="0"/>
        </w:rPr>
        <w:t xml:space="preserve">София, 06.04.2022</w:t>
      </w:r>
      <w:r w:rsidDel="00000000" w:rsidR="00000000" w:rsidRPr="00000000">
        <w:rPr>
          <w:rFonts w:ascii="Tahoma" w:cs="Tahoma" w:eastAsia="Tahoma" w:hAnsi="Tahoma"/>
          <w:color w:val="000000"/>
          <w:sz w:val="17"/>
          <w:szCs w:val="17"/>
          <w:rtl w:val="0"/>
        </w:rPr>
        <w:br w:type="textWrapping"/>
        <w:br w:type="textWrapping"/>
      </w:r>
      <w:r w:rsidDel="00000000" w:rsidR="00000000" w:rsidRPr="00000000">
        <w:rPr>
          <w:rFonts w:ascii="Open Sans" w:cs="Open Sans" w:eastAsia="Open Sans" w:hAnsi="Open Sans"/>
          <w:b w:val="1"/>
          <w:bCs w:val="1"/>
          <w:color w:val="000000"/>
          <w:sz w:val="36"/>
          <w:szCs w:val="36"/>
          <w:rtl w:val="0"/>
        </w:rPr>
        <w:t xml:space="preserve">В ИМЕТО НА НАРОДА</w:t>
      </w: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Fonts w:ascii="Tahoma" w:cs="Tahoma" w:eastAsia="Tahoma" w:hAnsi="Tahoma"/>
          <w:color w:val="000000"/>
          <w:sz w:val="17"/>
          <w:szCs w:val="17"/>
          <w:rtl w:val="0"/>
        </w:rPr>
        <w:br w:type="textWrapping"/>
      </w:r>
      <w:r w:rsidDel="00000000" w:rsidR="00000000" w:rsidRPr="00000000">
        <w:rPr>
          <w:rFonts w:ascii="Open Sans" w:cs="Open Sans" w:eastAsia="Open Sans" w:hAnsi="Open Sans"/>
          <w:b w:val="1"/>
          <w:bCs w:val="1"/>
          <w:color w:val="000000"/>
          <w:sz w:val="27"/>
          <w:szCs w:val="27"/>
          <w:highlight w:val="white"/>
          <w:rtl w:val="0"/>
        </w:rPr>
        <w:t xml:space="preserve">Върховният административен съд на Република България - Шесто отделение, </w:t>
      </w:r>
      <w:r w:rsidDel="00000000" w:rsidR="00000000" w:rsidRPr="00000000">
        <w:rPr>
          <w:rFonts w:ascii="Open Sans" w:cs="Open Sans" w:eastAsia="Open Sans" w:hAnsi="Open Sans"/>
          <w:color w:val="000000"/>
          <w:sz w:val="27"/>
          <w:szCs w:val="27"/>
          <w:highlight w:val="white"/>
          <w:rtl w:val="0"/>
        </w:rPr>
        <w:t xml:space="preserve">в съдебно заседание на девети март две хиляди и двадесет и втора година в състав:</w:t>
      </w:r>
      <w:r w:rsidDel="00000000" w:rsidR="00000000" w:rsidRPr="00000000">
        <w:rPr>
          <w:rFonts w:ascii="Tahoma" w:cs="Tahoma" w:eastAsia="Tahoma" w:hAnsi="Tahoma"/>
          <w:color w:val="000000"/>
          <w:sz w:val="17"/>
          <w:szCs w:val="17"/>
          <w:rtl w:val="0"/>
        </w:rPr>
        <w:br w:type="textWrapping"/>
      </w:r>
      <w:r w:rsidDel="00000000" w:rsidR="00000000" w:rsidRPr="00000000">
        <w:rPr>
          <w:rtl w:val="0"/>
        </w:rPr>
      </w:r>
    </w:p>
    <w:tbl>
      <w:tblPr>
        <w:tblStyle w:val="Table1"/>
        <w:tblW w:w="7992.0" w:type="dxa"/>
        <w:jc w:val="left"/>
        <w:tblLayout w:type="fixed"/>
        <w:tblLook w:val="0400"/>
      </w:tblPr>
      <w:tblGrid>
        <w:gridCol w:w="4728"/>
        <w:gridCol w:w="3264"/>
        <w:tblGridChange w:id="0">
          <w:tblGrid>
            <w:gridCol w:w="4728"/>
            <w:gridCol w:w="3264"/>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3">
            <w:pPr>
              <w:jc w:val="right"/>
              <w:rPr>
                <w:rFonts w:ascii="Tahoma" w:cs="Tahoma" w:eastAsia="Tahoma" w:hAnsi="Tahoma"/>
                <w:sz w:val="17"/>
                <w:szCs w:val="17"/>
              </w:rPr>
            </w:pPr>
            <w:r w:rsidDel="00000000" w:rsidR="00000000" w:rsidRPr="00000000">
              <w:rPr>
                <w:rFonts w:ascii="Open Sans" w:cs="Open Sans" w:eastAsia="Open Sans" w:hAnsi="Open Sans"/>
                <w:b w:val="1"/>
                <w:bCs w:val="1"/>
                <w:sz w:val="27"/>
                <w:szCs w:val="27"/>
                <w:rtl w:val="0"/>
              </w:rPr>
              <w:t xml:space="preserve">ПРЕДСЕДАТЕЛ:</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4">
            <w:pPr>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РОСЕН ВАСИЛЕВ</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5">
            <w:pPr>
              <w:jc w:val="right"/>
              <w:rPr>
                <w:rFonts w:ascii="Tahoma" w:cs="Tahoma" w:eastAsia="Tahoma" w:hAnsi="Tahoma"/>
                <w:sz w:val="17"/>
                <w:szCs w:val="17"/>
              </w:rPr>
            </w:pPr>
            <w:r w:rsidDel="00000000" w:rsidR="00000000" w:rsidRPr="00000000">
              <w:rPr>
                <w:rFonts w:ascii="Open Sans" w:cs="Open Sans" w:eastAsia="Open Sans" w:hAnsi="Open Sans"/>
                <w:b w:val="1"/>
                <w:bCs w:val="1"/>
                <w:sz w:val="27"/>
                <w:szCs w:val="27"/>
                <w:rtl w:val="0"/>
              </w:rPr>
              <w:t xml:space="preserve">ЧЛЕНОВЕ:</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6">
            <w:pPr>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ХАЙГУХИ БОДИКЯН</w:t>
              <w:br w:type="textWrapping"/>
              <w:t xml:space="preserve">ВЕСЕЛА НИКОЛОВА</w:t>
            </w:r>
            <w:r w:rsidDel="00000000" w:rsidR="00000000" w:rsidRPr="00000000">
              <w:rPr>
                <w:rtl w:val="0"/>
              </w:rPr>
            </w:r>
          </w:p>
        </w:tc>
      </w:tr>
    </w:tbl>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7"/>
          <w:szCs w:val="17"/>
        </w:rPr>
      </w:pPr>
      <w:r w:rsidDel="00000000" w:rsidR="00000000" w:rsidRPr="00000000">
        <w:rPr>
          <w:rtl w:val="0"/>
        </w:rPr>
      </w:r>
    </w:p>
    <w:tbl>
      <w:tblPr>
        <w:tblStyle w:val="Table2"/>
        <w:tblW w:w="7080.0" w:type="dxa"/>
        <w:jc w:val="left"/>
        <w:tblLayout w:type="fixed"/>
        <w:tblLook w:val="0400"/>
      </w:tblPr>
      <w:tblGrid>
        <w:gridCol w:w="1932"/>
        <w:gridCol w:w="2940"/>
        <w:gridCol w:w="2208"/>
        <w:tblGridChange w:id="0">
          <w:tblGrid>
            <w:gridCol w:w="1932"/>
            <w:gridCol w:w="2940"/>
            <w:gridCol w:w="220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8">
            <w:pPr>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при секретар</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9">
            <w:pPr>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Мариана Салджиева</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A">
            <w:pPr>
              <w:jc w:val="right"/>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и с участието</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B">
            <w:pPr>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на прокурора</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C">
            <w:pPr>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Момчил Таралански</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D">
            <w:pPr>
              <w:jc w:val="right"/>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изслуша докладваното</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E">
            <w:pPr>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от съдията</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F">
            <w:pPr>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ВЕСЕЛА НИКОЛОВА</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10">
            <w:pPr>
              <w:rPr>
                <w:rFonts w:ascii="Tahoma" w:cs="Tahoma" w:eastAsia="Tahoma" w:hAnsi="Tahoma"/>
                <w:sz w:val="17"/>
                <w:szCs w:val="17"/>
              </w:rPr>
            </w:pPr>
            <w:r w:rsidDel="00000000" w:rsidR="00000000" w:rsidRPr="00000000">
              <w:rPr>
                <w:rFonts w:ascii="Tahoma" w:cs="Tahoma" w:eastAsia="Tahoma" w:hAnsi="Tahoma"/>
                <w:sz w:val="17"/>
                <w:szCs w:val="17"/>
              </w:rPr>
              <w:drawing>
                <wp:inline distB="0" distT="0" distL="0" distR="0">
                  <wp:extent cx="7620" cy="7620"/>
                  <wp:effectExtent b="0" l="0" r="0" t="0"/>
                  <wp:docPr descr="http://www.sac.government.bg/icons/ecblank.gif" id="1" name="image1.gif"/>
                  <a:graphic>
                    <a:graphicData uri="http://schemas.openxmlformats.org/drawingml/2006/picture">
                      <pic:pic>
                        <pic:nvPicPr>
                          <pic:cNvPr descr="http://www.sac.government.bg/icons/ecblank.gif" id="0" name="image1.gif"/>
                          <pic:cNvPicPr preferRelativeResize="0"/>
                        </pic:nvPicPr>
                        <pic:blipFill>
                          <a:blip r:embed="rId6"/>
                          <a:srcRect b="0" l="0" r="0" t="0"/>
                          <a:stretch>
                            <a:fillRect/>
                          </a:stretch>
                        </pic:blipFill>
                        <pic:spPr>
                          <a:xfrm>
                            <a:off x="0" y="0"/>
                            <a:ext cx="7620" cy="7620"/>
                          </a:xfrm>
                          <a:prstGeom prst="rect"/>
                          <a:ln/>
                        </pic:spPr>
                      </pic:pic>
                    </a:graphicData>
                  </a:graphic>
                </wp:inline>
              </w:drawing>
            </w:r>
            <w:r w:rsidDel="00000000" w:rsidR="00000000" w:rsidRPr="00000000">
              <w:rPr>
                <w:rtl w:val="0"/>
              </w:rPr>
            </w:r>
          </w:p>
        </w:tc>
      </w:tr>
      <w:tr>
        <w:trPr>
          <w:cantSplit w:val="0"/>
          <w:tblHeader w:val="0"/>
        </w:trPr>
        <w:tc>
          <w:tcPr>
            <w:gridSpan w:val="3"/>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11">
            <w:pPr>
              <w:rPr>
                <w:rFonts w:ascii="Tahoma" w:cs="Tahoma" w:eastAsia="Tahoma" w:hAnsi="Tahoma"/>
                <w:sz w:val="17"/>
                <w:szCs w:val="17"/>
              </w:rPr>
            </w:pPr>
            <w:r w:rsidDel="00000000" w:rsidR="00000000" w:rsidRPr="00000000">
              <w:rPr>
                <w:rFonts w:ascii="Arial" w:cs="Arial" w:eastAsia="Arial" w:hAnsi="Arial"/>
                <w:sz w:val="27"/>
                <w:szCs w:val="27"/>
                <w:rtl w:val="0"/>
              </w:rPr>
              <w:t xml:space="preserve">по адм. дело № 10956/2021</w:t>
            </w:r>
            <w:r w:rsidDel="00000000" w:rsidR="00000000" w:rsidRPr="00000000">
              <w:rPr>
                <w:rFonts w:ascii="Open Sans" w:cs="Open Sans" w:eastAsia="Open Sans" w:hAnsi="Open Sans"/>
                <w:b w:val="1"/>
                <w:bCs w:val="1"/>
                <w:sz w:val="27"/>
                <w:szCs w:val="27"/>
                <w:rtl w:val="0"/>
              </w:rPr>
              <w:t xml:space="preserve">. </w:t>
            </w:r>
            <w:r w:rsidDel="00000000" w:rsidR="00000000" w:rsidRPr="00000000">
              <w:rPr>
                <w:rFonts w:ascii="Open Sans" w:cs="Open Sans" w:eastAsia="Open Sans" w:hAnsi="Open Sans"/>
                <w:color w:val="9d0000"/>
                <w:sz w:val="27"/>
                <w:szCs w:val="27"/>
              </w:rPr>
              <w:drawing>
                <wp:inline distB="0" distT="0" distL="0" distR="0">
                  <wp:extent cx="114300" cy="137160"/>
                  <wp:effectExtent b="0" l="0" r="0" t="0"/>
                  <wp:docPr descr="Document Link Icon" id="2" name="image2.gif"/>
                  <a:graphic>
                    <a:graphicData uri="http://schemas.openxmlformats.org/drawingml/2006/picture">
                      <pic:pic>
                        <pic:nvPicPr>
                          <pic:cNvPr descr="Document Link Icon" id="0" name="image2.gif"/>
                          <pic:cNvPicPr preferRelativeResize="0"/>
                        </pic:nvPicPr>
                        <pic:blipFill>
                          <a:blip r:embed="rId7"/>
                          <a:srcRect b="0" l="0" r="0" t="0"/>
                          <a:stretch>
                            <a:fillRect/>
                          </a:stretch>
                        </pic:blipFill>
                        <pic:spPr>
                          <a:xfrm>
                            <a:off x="0" y="0"/>
                            <a:ext cx="114300" cy="13716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4">
      <w:pPr>
        <w:rPr/>
      </w:pPr>
      <w:bookmarkStart w:colFirst="0" w:colLast="0" w:name="_tm4fsret6lyh" w:id="0"/>
      <w:bookmarkEnd w:id="0"/>
      <w:r w:rsidDel="00000000" w:rsidR="00000000" w:rsidRPr="00000000">
        <w:rPr>
          <w:rFonts w:ascii="Tahoma" w:cs="Tahoma" w:eastAsia="Tahoma" w:hAnsi="Tahoma"/>
          <w:color w:val="000000"/>
          <w:sz w:val="17"/>
          <w:szCs w:val="17"/>
          <w:rtl w:val="0"/>
        </w:rPr>
        <w:br w:type="textWrapping"/>
        <w:br w:type="textWrapping"/>
      </w:r>
      <w:r w:rsidDel="00000000" w:rsidR="00000000" w:rsidRPr="00000000">
        <w:rPr>
          <w:rFonts w:ascii="Tahoma" w:cs="Tahoma" w:eastAsia="Tahoma" w:hAnsi="Tahoma"/>
          <w:color w:val="000000"/>
          <w:sz w:val="27"/>
          <w:szCs w:val="27"/>
          <w:highlight w:val="white"/>
          <w:rtl w:val="0"/>
        </w:rPr>
        <w:t xml:space="preserve">Производството е по реда на чл. 208 и следв. от Административнопроцесуалния кодекс /АПК/, във вр. с чл. 76, ал. 1 от Закона за противодействие на корупцията и за отнемане на незаконно придобитото имущество /ЗПКОНПИ/.</w:t>
        <w:br w:type="textWrapping"/>
        <w:t xml:space="preserve">Образувано е по касационна жалба на Комисия за противодействие на корупцията и за отнемане на незаконно придобитото имущество /КПКОНПИ/ подадена чрез адв. Н. Нейков срещу решение № 5225/18.08.2021 г., постановено по адм. дело № 2169/2021 г. по описа на Административен съд София - град.</w:t>
        <w:br w:type="textWrapping"/>
        <w:t xml:space="preserve">В касационната жалба са изложени съображения за неправилност поради необоснованост и нарушение на материалния закон, относими към касационните основания за отмяна по чл. 209, т. 3 от АПК. Формулиран е петитум за отмяна на първоинстанционното решение и вместо него постановяване на друго по съществото на спора, с което да се остави в сила обжалвания административен акт. Претендира се юрисконсултско възнаграждение. В съдебно заседание се прави възражение за прекомерност на адвокатското възнаграждение.</w:t>
        <w:br w:type="textWrapping"/>
        <w:t xml:space="preserve">Ответникът - А. Манолев, представляван от адв. Атанасов изразява становище за неоснователност на касационната жалба. Претендира разноски.</w:t>
        <w:br w:type="textWrapping"/>
        <w:t xml:space="preserve">Представителят на Върховна административна прокуратура дава заключение за основателност на жалбата.</w:t>
        <w:br w:type="textWrapping"/>
        <w:t xml:space="preserve">Върховният административен съд, състав на шесто отделение намира касационната жалба за процесуално допустима като подадена в срока по чл. 211, ал. 1 АПК, а разгледана по същество - за неоснователна, по следните съображения:</w:t>
        <w:br w:type="textWrapping"/>
        <w:t xml:space="preserve">С решение №1770/11.03.2020 г. по адм.№13925/2019 г., АССГ е отхвърлил жалбата на А. Манолев срещу </w:t>
      </w:r>
      <w:r w:rsidDel="00000000" w:rsidR="00000000" w:rsidRPr="00000000">
        <w:rPr>
          <w:rFonts w:ascii="Tahoma" w:cs="Tahoma" w:eastAsia="Tahoma" w:hAnsi="Tahoma"/>
          <w:b w:val="1"/>
          <w:bCs w:val="1"/>
          <w:color w:val="000000"/>
          <w:sz w:val="27"/>
          <w:szCs w:val="27"/>
          <w:highlight w:val="white"/>
          <w:rtl w:val="0"/>
        </w:rPr>
        <w:t xml:space="preserve">№ РС-10473-19-063/10.10.2019 г. на КПКОНПИ. </w:t>
      </w:r>
      <w:r w:rsidDel="00000000" w:rsidR="00000000" w:rsidRPr="00000000">
        <w:rPr>
          <w:rFonts w:ascii="Tahoma" w:cs="Tahoma" w:eastAsia="Tahoma" w:hAnsi="Tahoma"/>
          <w:color w:val="000000"/>
          <w:sz w:val="27"/>
          <w:szCs w:val="27"/>
          <w:highlight w:val="white"/>
          <w:rtl w:val="0"/>
        </w:rPr>
        <w:t xml:space="preserve">С решение № 2200/18.02.2021 г. по адм. № 7503/2020 г. на ВАС, решението на АССГ е отменено и делото е върнато за ново разглеждане със задължителни указания.</w:t>
        <w:br w:type="textWrapping"/>
        <w:t xml:space="preserve">При новото разглеждане на делото, с решение № 5225/18.08.2021 г., постановено по адм. дело № 2169/2021 г. Административен съд – София град е отменил решение № РС-10473-19-063/10.10.2019 г. на КПКОНПИ, в частта, с която на осн. чл. 74, ал. 1 във вр. чл. 73 във вр. с чл. 57 от ЗПКОНПИ е установено наличие на конфликт на интереси за лицето А. Манолев и на осн. чл. 171 ал.1 вр. чл. 52 вр. чл. 57 от ЗПКОНПИ му е наложена глоба в размер на 10 000 лв., и е присъдил разноски. Изложени са мотиви, че не е налице „частен интерес“ по отношение на А. Манолев или свързано с него лице, който може да повлияе на безпристрастното и обективно изпълнение на правомощията или задълженията му по служба, поради което не може да се изведе правен извод за установен „конфликт на интереси“ по см. на чл. 52 от ЗПКОНПИ.</w:t>
        <w:br w:type="textWrapping"/>
        <w:t xml:space="preserve">Решението е правилно.</w:t>
        <w:br w:type="textWrapping"/>
        <w:t xml:space="preserve">Касационната инстанция намира делото за изяснено от фактическа страна, поради което не счита за нужно да преповтаря фактическата обстановка, която първоинстанционният съд е изяснил правилно и в пълен обем.</w:t>
        <w:br w:type="textWrapping"/>
        <w:t xml:space="preserve">Предмет на съдебен контрол за законосъобразност в първоинстанционното производство е решение № РС-10473-19-063 от 10.10.2019 г. на КПКОНПИ, в частта с която: 1. На основание чл. 74 ал.1 във вр. с чл. 73 във вр. с чл.57 от ЗПКОНПИ, във вр. с чл. 7 ал. 2 от ЗПУКИ /отм./ и е установен конфликт на интереси по отношение на А. Манолев – заместник министър на икономиката и като такъв член на Управителния съвет на Държавен фонд „Земеделие“ /ДФ “Земеделие“/, а в тези му качества - лице, заемащо публична длъжност по смисъла на чл. 3 т. 4 и т. 23 от ЗПУКИ /отм./ до 23.01.2018г., а след тази дата – лице, заемащо висша публична длъжност по смисъла на чл. 6 ал . 1 т. 3 от ЗПКОНПИ, за това, че е използвал служебното си положение и е оказал влияние в частен интерес на свързано с него лице, с което е реализирал нематериална облага, изразяваща се в избягване на санкция поради липса на контрол, върху други органи и лица при изпълнение на контролните им функции, във връзка с мониторинга по изпълнение на Договор № 01/311/00624 от 06.10.2014 г. за отпускане на финансова помощ по Мярка 311 „Разнообразие към неземеделски дейности“ по Програмата за развитие на селските райони за периода 2007 г.– 2013 г., сключен между ДФ“Земеделие“ и ЕТ“Агротрейд – А. Димитрова“, свързан с функционирането на обект „Жилищна сграда за годи“ в УПИ I-000784 „а“, м.Чинар Куши, гр.Сандански по проект № 01/311/00624, в нарушение на чл. 7 ал. 2 от ЗКПУИ /отм./, респ. чл. 57 от ЗПКОНИ и 2. Наложена е на основание чл. 171 ал.1 от ЗПКОНПИ глоба в размер на 10 000 лева на А. Манолев за осъществен конфликт на интереси по смисъла на чл. 2 от ЗПУКИ /отм./, респ. чл. 52 от ЗПКОНПИ, за извършено нарушение на разпоредбата на чл. 7 ал. 2 от ЗПУКИ /отм./, респ. чл. 57 от ЗПКОНПИ в качеството му на заместник министър на икономиката и като такъв член на Управителния съвет на ДФ“Земеделие“ и лице заемащо висша публична длъжност по смисъла на чл. 6 ал. 1 т. 3 от ЗПКОНПИ.</w:t>
        <w:br w:type="textWrapping"/>
        <w:t xml:space="preserve">При постановяване на обжалваното решение административният съд е изпълнил вменените му процесуални задължения с отменителното решение на ВАС по адм. № 7503/2020 г., като е изложил мотиви относно приложимия правен ред, изследвал е въпросът дали посочените в легалните дефиниции на понятията „конфликт на интереси“, „частен интерес“ и „икономическа зависимост“ елементи на съставомерност, са осъществени в конкретния случай, във връзка с което е подложил на преценка и анализ констатациите на административния орган. </w:t>
        <w:br w:type="textWrapping"/>
        <w:t xml:space="preserve">Съгласно разпоредбата на чл. 52 от ЗПКОНПИ, конфликт на интереси възниква, когато лице, заемащо висша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 Фактическият състав на конфликта на интереси по смисъла на чл. 52 от ЗПКОНПИ, във вр. с § 2, ал. 1, т. 1 ДР от ЗПКОНПИ, изисква кумулативното наличие на три материалноправни предпоставки, а именно: лице, което заема висша публична длъжност или попадащо в изброените в § 2, ал. 1 от ДР на ЗПКОНПИ, частен интерес на това лице по см. на чл. 53, във вр. с чл. 54 от ЗПКОНПИ и възможност този частен интерес да повлияе на безпристрастното и обективно изпълнение на правомощията на лицето, заемащо тази длъжност, или на задължението му по служба.</w:t>
        <w:br w:type="textWrapping"/>
        <w:t xml:space="preserve">По делото е установено, че ответникът е лице, което заема висша публична длъжност по смисъла на чл. 6, ал. 1, т. 23, предл. второ ЗПКОНПИ, респ. публична длъжност по смисъла на чл. 3, т. 18 ЗПУКИ /отм./. При преценката досежно възможността приетият в тази връзка за установен от КПКОНПИ частен интерес да повлияе на безпристрастното и обективно изпълнение на задълженията и правомощията на А. Манолев, в качеството му на заместник-министър на икономиката респ. член на управителния съвет на ДФ „Земеделие“, следва да се съобрази релевантното за изхода на спора обстоятелство – липсата/наличието на „частен интерес“ за него или свързано с него лице, който интерес може да повлияе на безпристрастното и обективно изпълнение на правомощията или задълженията му по служба. Нормата на чл. 53 ЗПКОНПИ определя, че частен интерес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а облага представлява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/чл. 54 от ЗПКОНПИ/.</w:t>
        <w:br w:type="textWrapping"/>
        <w:t xml:space="preserve">Изложените доказателства от страна на административния орган се отнасят за действия, осъществени в периода 2011 г. – 2016 г., който период предхожда момента, в който ответникът е встъпил на длъжността зам.-министър на икономиката, респ. член на УС на ДФ „Земеделие“ като следва да се отбележи, че на последната длъжност лицето е определено по силата на закона съгласно чл.5, ал.4 УПДФЗ приет с ПМС№151/16.07.2012 г. вкл., че пълномощните с рег. №10290/27.04.2016 г., рег. №2363/07.02.2013 г. и рег. №32912/27.10.2015 г. са създадени преди упълномощения А. Манолев да започне да изпълнява /заема/ публична длъжност. От данните по делото не може да се направи извод за наличието на облага по смисъла на чл.2, ал.3 ЗПУКИ /отм./ вр. чл.53 ЗПКОНПИ. Липсата на облага, води до липса на "частен интерес" /Решение № 6165 от 12.05.2010 г. по адм. д. № 3439/2010 г., V отд. на ВАС; Решение № 522 от 19.01.2015 г. по адм. д. № 5913/2014 г., VІІ отд. на ВАС и др./ Извод за наличието на частен интерес, в конкретния случай, както правилно е преценил първоинстанционният съд, не може да бъде изведен въз основа на така установените факти. Липсата на релевантен частен интерес във връзка с упражнените от ответника правомощия по служба обуславя и липса на конфликт на интереси.</w:t>
        <w:br w:type="textWrapping"/>
        <w:t xml:space="preserve">По делото не се спори, че А. Манолев и А. Димитрова са били в търговско – икономически отношения, свързани със сключването на: договор за отдаване под наем на земеделска земя от 01.10.2011 г. за срок от една година с цена в размер на 1 000 лева; учредяването на право на строеж на недвижим имот за "Жилищна сграда - къща за гости" и басейн и ограда в собствения му поземлен имот с идентификатор № 65ЗЗ4.226.7841 по КК на гр. Сандански на 13.02.2013 г.; договор за паричен заем, сключен между дружеството „Ес Ди Ес Про“ ЕООД и ЕТ “Агротрейд - А. Димитрова“ от 03.08.2015 г., както и от издадените нотариално заверени пълномощни от страна на ЕТ “Агротрейд – А. Димитрова“ по отношение на А. Манолев. Всички описани отношения между ответника и А. Димитрова в качеството ѝ на ЕТ на “Агротрейд - А. Димитрова“ касаят период преди назначаването на Манолев за заместник-министър на икономиката, поради което съдът не намира за установена и „икономическа зависимост“ в хипотезата на чл.53 вр. §1 т.15 б.“а“ и б.“б“ ДР на ЗПОНПИ, респ. при липсата й няма как да се преценява дали тя поражда основателни съмнения в безпристрастността и обективността на лицето, заемащо публична държавна длъжност.</w:t>
        <w:br w:type="textWrapping"/>
        <w:t xml:space="preserve">В касационната жалба не се сочат обстоятелства, водещи до промяна на изводите, формирани от първоинстанционния съд при осъществения съдебен контрол за материална законосъобразност на оспорения административен акт. Атакуваният съдебен акт се основава на правилна преценка на събраните доказателства, издаден е в съответствие с приложимите за казуса материалноправни разпоредби и е постановен при стриктно спазване на съдопроизводствените правила. Не са допуснати процесуални нарушения от категорията на съществените.</w:t>
        <w:br w:type="textWrapping"/>
        <w:t xml:space="preserve">Като е приел, че по отношение на А. Манолев не е налице конфликт на интереси и е отменил оспорения акт, административният съд е постановил правилно решение, което следва да бъде оставено в сила.</w:t>
        <w:br w:type="textWrapping"/>
        <w:t xml:space="preserve">При този изход на спора претенцията на ответника за присъждане на сторените съдебни разноски следва да бъде уважена. Съдът намира за основателно направеното в съдебно заседание възражение от процесуалния представител на касатора за прекомерност на договореното адвокатско възнаграждение. Същото не е съобразено с указания минимален размер в разпоредбата на чл. 8, ал. 1, т.4 от Наредба № 1/2004 г. за минималните размери на адвокатските възнаграждения. С оглед обема, фактическата и правна сложност на делото, уговореният размер на адвокатско възнаграждение възлизащ на сумата от 2 196 лв., съгласно представения по делото договор за правна защита и съдействие и платежно нареждане, следва да се редуцира в размер на 1 400 лв.</w:t>
        <w:br w:type="textWrapping"/>
        <w:t xml:space="preserve">По изложените съображения и на основание чл. 221, ал. 2, предл. първо от АПК, Върховният административен съд, състав на шесто отделение</w:t>
        <w:br w:type="textWrapping"/>
        <w:br w:type="textWrapping"/>
        <w:br w:type="textWrapping"/>
        <w:br w:type="textWrapping"/>
        <w:t xml:space="preserve">РЕШИ:</w:t>
        <w:br w:type="textWrapping"/>
        <w:br w:type="textWrapping"/>
        <w:br w:type="textWrapping"/>
        <w:br w:type="textWrapping"/>
        <w:t xml:space="preserve">ОСТАВЯ В СИЛА решение № 5225/18.08.2021г., постановено по адм. дело № 2169/2021г. по описа на Административен съд София - град.</w:t>
        <w:br w:type="textWrapping"/>
        <w:t xml:space="preserve">ОСЪЖДА Комисията за противодействие на корупцията и за отнемане на незаконно придобитото имущество с адрес: гр. София, пл. "Света Неделя" № 6, да заплати на А. Манолев, сумата от 1 400 /хиляда и четиристотин/ лева, представляваща сторените по делото разноски в касационната инстанция.</w:t>
        <w:br w:type="textWrapping"/>
        <w:t xml:space="preserve">РЕШЕНИЕТО е окончателно и не подлежи на обжалване.</w:t>
      </w:r>
      <w:r w:rsidDel="00000000" w:rsidR="00000000" w:rsidRPr="00000000">
        <w:rPr>
          <w:rtl w:val="0"/>
        </w:rPr>
      </w:r>
    </w:p>
    <w:sectPr>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Unicode MS"/>
  <w:font w:name="Times New Roman"/>
  <w:font w:name="Arial"/>
  <w:font w:name="Tahoma">
    <w:embedRegular w:fontKey="{00000000-0000-0000-0000-000000000000}" r:id="rId1" w:subsetted="0"/>
    <w:embedBold w:fontKey="{00000000-0000-0000-0000-000000000000}" r:id="rId2" w:subsetted="0"/>
  </w:font>
  <w:font w:name="Open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gif"/><Relationship Id="rId7" Type="http://schemas.openxmlformats.org/officeDocument/2006/relationships/image" Target="media/image2.gif"/></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OpenSans-regular.ttf"/><Relationship Id="rId4" Type="http://schemas.openxmlformats.org/officeDocument/2006/relationships/font" Target="fonts/OpenSans-bold.ttf"/><Relationship Id="rId5" Type="http://schemas.openxmlformats.org/officeDocument/2006/relationships/font" Target="fonts/OpenSans-italic.ttf"/><Relationship Id="rId6"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