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68.0" w:type="dxa"/>
        <w:jc w:val="left"/>
        <w:tblInd w:w="-15.0" w:type="dxa"/>
        <w:tblLayout w:type="fixed"/>
        <w:tblLook w:val="0400"/>
      </w:tblPr>
      <w:tblGrid>
        <w:gridCol w:w="9968"/>
        <w:tblGridChange w:id="0">
          <w:tblGrid>
            <w:gridCol w:w="9968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2">
            <w:pPr>
              <w:spacing w:before="75" w:lineRule="auto"/>
              <w:jc w:val="center"/>
              <w:rPr>
                <w:rFonts w:ascii="Arial" w:cs="Arial" w:eastAsia="Arial" w:hAnsi="Arial"/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222222"/>
                <w:sz w:val="36"/>
                <w:szCs w:val="36"/>
                <w:rtl w:val="0"/>
              </w:rPr>
              <w:t xml:space="preserve">РЕШЕНИЕ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spacing w:before="75" w:lineRule="auto"/>
              <w:jc w:val="center"/>
              <w:rPr>
                <w:rFonts w:ascii="Arial" w:cs="Arial" w:eastAsia="Arial" w:hAnsi="Arial"/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04">
            <w:pPr>
              <w:spacing w:before="75" w:lineRule="auto"/>
              <w:jc w:val="center"/>
              <w:rPr>
                <w:rFonts w:ascii="Arial" w:cs="Arial" w:eastAsia="Arial" w:hAnsi="Arial"/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color w:val="222222"/>
                <w:sz w:val="27"/>
                <w:szCs w:val="27"/>
                <w:rtl w:val="0"/>
              </w:rPr>
              <w:t xml:space="preserve">№ 11815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spacing w:before="75" w:lineRule="auto"/>
              <w:jc w:val="center"/>
              <w:rPr>
                <w:rFonts w:ascii="Arial" w:cs="Arial" w:eastAsia="Arial" w:hAnsi="Arial"/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222222"/>
                <w:sz w:val="27"/>
                <w:szCs w:val="27"/>
                <w:rtl w:val="0"/>
              </w:rPr>
              <w:t xml:space="preserve">София, 18.11.2021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spacing w:before="75" w:lineRule="auto"/>
              <w:jc w:val="center"/>
              <w:rPr>
                <w:rFonts w:ascii="Arial" w:cs="Arial" w:eastAsia="Arial" w:hAnsi="Arial"/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07">
            <w:pPr>
              <w:spacing w:before="75" w:lineRule="auto"/>
              <w:jc w:val="center"/>
              <w:rPr>
                <w:rFonts w:ascii="Arial" w:cs="Arial" w:eastAsia="Arial" w:hAnsi="Arial"/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222222"/>
                <w:sz w:val="27"/>
                <w:szCs w:val="27"/>
                <w:rtl w:val="0"/>
              </w:rPr>
              <w:t xml:space="preserve">В ИМЕТО НА НАРОДА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before="75" w:lineRule="auto"/>
              <w:rPr>
                <w:rFonts w:ascii="Arial" w:cs="Arial" w:eastAsia="Arial" w:hAnsi="Arial"/>
                <w:color w:val="222222"/>
                <w:sz w:val="18"/>
                <w:szCs w:val="18"/>
              </w:rPr>
            </w:pPr>
            <w:bookmarkStart w:colFirst="0" w:colLast="0" w:name="_q7mexqg2h8u6" w:id="0"/>
            <w:bookmarkEnd w:id="0"/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color w:val="222222"/>
                <w:sz w:val="24"/>
                <w:szCs w:val="24"/>
                <w:rtl w:val="0"/>
              </w:rPr>
              <w:t xml:space="preserve">Върховният административен съд на Република България - Шесто отделение, </w:t>
            </w:r>
            <w:r w:rsidDel="00000000" w:rsidR="00000000" w:rsidRPr="00000000">
              <w:rPr>
                <w:rFonts w:ascii="Open Sans" w:cs="Open Sans" w:eastAsia="Open Sans" w:hAnsi="Open Sans"/>
                <w:color w:val="222222"/>
                <w:sz w:val="24"/>
                <w:szCs w:val="24"/>
                <w:rtl w:val="0"/>
              </w:rPr>
              <w:t xml:space="preserve">в съдебно заседание на петнадесети септември в състав: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before="75" w:lineRule="auto"/>
              <w:rPr>
                <w:rFonts w:ascii="Arial" w:cs="Arial" w:eastAsia="Arial" w:hAnsi="Arial"/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18"/>
                <w:szCs w:val="18"/>
                <w:rtl w:val="0"/>
              </w:rPr>
              <w:t xml:space="preserve"> </w:t>
            </w:r>
          </w:p>
          <w:tbl>
            <w:tblPr>
              <w:tblStyle w:val="Table2"/>
              <w:tblW w:w="9878.0" w:type="dxa"/>
              <w:jc w:val="left"/>
              <w:tblLayout w:type="fixed"/>
              <w:tblLook w:val="0400"/>
            </w:tblPr>
            <w:tblGrid>
              <w:gridCol w:w="5828"/>
              <w:gridCol w:w="4050"/>
              <w:tblGridChange w:id="0">
                <w:tblGrid>
                  <w:gridCol w:w="5828"/>
                  <w:gridCol w:w="405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0A">
                  <w:pPr>
                    <w:jc w:val="right"/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sz w:val="24"/>
                      <w:szCs w:val="24"/>
                      <w:rtl w:val="0"/>
                    </w:rPr>
                    <w:t xml:space="preserve">ПРЕДСЕДАТЕЛ: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0B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РОСЕН ВАСИЛЕВ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0C">
                  <w:pPr>
                    <w:jc w:val="right"/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sz w:val="24"/>
                      <w:szCs w:val="24"/>
                      <w:rtl w:val="0"/>
                    </w:rPr>
                    <w:t xml:space="preserve">ЧЛЕНОВЕ: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0D">
                  <w:pPr>
                    <w:rPr>
                      <w:rFonts w:ascii="Open Sans" w:cs="Open Sans" w:eastAsia="Open Sans" w:hAnsi="Open Sans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ХАЙГУХИ БОДИКЯН</w:t>
                  </w:r>
                </w:p>
                <w:p w:rsidR="00000000" w:rsidDel="00000000" w:rsidP="00000000" w:rsidRDefault="00000000" w:rsidRPr="00000000" w14:paraId="0000000E">
                  <w:pPr>
                    <w:spacing w:before="75" w:lineRule="auto"/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ВЕСЕЛА НИКОЛОВА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18"/>
                <w:szCs w:val="18"/>
                <w:rtl w:val="0"/>
              </w:rPr>
              <w:t xml:space="preserve"> </w:t>
            </w:r>
          </w:p>
          <w:tbl>
            <w:tblPr>
              <w:tblStyle w:val="Table3"/>
              <w:tblW w:w="7080.0" w:type="dxa"/>
              <w:jc w:val="left"/>
              <w:tblLayout w:type="fixed"/>
              <w:tblLook w:val="0400"/>
            </w:tblPr>
            <w:tblGrid>
              <w:gridCol w:w="1932"/>
              <w:gridCol w:w="2940"/>
              <w:gridCol w:w="2208"/>
              <w:tblGridChange w:id="0">
                <w:tblGrid>
                  <w:gridCol w:w="1932"/>
                  <w:gridCol w:w="2940"/>
                  <w:gridCol w:w="2208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10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при секретар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11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Мариана Салджиева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12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и с участието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13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на прокурора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14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Тодор Мерджанов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15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изслуша докладваното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16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от съдията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17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ВЕСЕЛА НИКОЛОВА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18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19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4"/>
                      <w:szCs w:val="24"/>
                      <w:rtl w:val="0"/>
                    </w:rPr>
                    <w:t xml:space="preserve">по адм. дело №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1A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5377/2021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1B">
                  <w:pPr>
                    <w:rPr>
                      <w:rFonts w:ascii="Times New Roman" w:cs="Times New Roman" w:eastAsia="Times New Roman" w:hAnsi="Times New Roman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1C">
            <w:pPr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Производството е по реда на чл. 208 и сл. от Административнопроцесуалния кодекс /АПК/, във вр. с чл. 76, ал. 1 от Закона за противодействие на корупцията и за отнемане на незаконно придобито имущество /КПКОНПИ/.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Образувано е по касационната жалба на Р. Павлов от гр. Велико Търново, чрез адв. Е. Николова от СЗАК, срещу Решение № 86/29.03.2021г. по адм. д. № 211/2020г. на Административен съд – Велико Търново, с което е отхвърлена жалбата на Павлов в качеството му на кмет на гр. Стражица срещу Решение № РС-13438-19-026/19.02.2020г. на Комисията за противодействие на корупцията и за отнемане на незаконно придобито имущество //КПКОНПИ/ и последният е осъден да заплати на комисията разноски по делото в размер на 150 лева.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 касационната жалба се съдържат подробни съображения за неправилност на съдебния акт поради нарушение на материалния закон, съществено нарушение на съдопроизводствените правила и необоснованост – отменителни основания по чл. 209, т. 3 от АПК.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Ответникът - КПКОНПИ, чрез процесуалния представител юриск. Гангалов, оспорва жалбата и пледира за отхвърлянето й като неоснователна.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Представителят на Върховната административна прокуратура дава заключение за неоснователност на касационната жалба.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Върховният административен съд, състав на шесто отделение намира касационната жалба процесуално допустима – депозирана в срока по чл. 211, ал. 1 от АПК, от надлежна страна с правен интерес от оспорването и срещу подлежащ на инстанционен контрол съдебен акт.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Разгледана по същество, касационната жалба е основателна по следните съображения: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 обжалваното решение Административен съд – В. Търново е отхвърлил жалбата на Павлов срещу Решение № РС-13438-19-026/19.02.2020г. на КПКОНПИ, с което комисията е установила по отношение на последния, в качеството му на лице, заемащо публична длъжност по смисъла на чл. 3, т. 8 от ЗПУКИ /отм./ и лице заемащо висша публична длъжност по смисъла на чл. 6, ал.1 т.32 от ЗПКОНПИ, конфликт на интереси за това, че като кмет на община Стражица на посочените в решението дати в периода от 05.01.2018г. до 27.02.2019г. е упражнил правомощие по служба като е издал описаните в решението заповеди и въз основа на тях разрешителни за почистване от храстовидна и дървесна растителност на поземлени имоти в района на Община Стражица в частен интерес на ЕТ „НИКИ – 2003 - Н. Павлов“ с управител Н. Павлов – брат на Р. Павлов, и е сключил с ЕТ договор № 65/01.12.2016г. за отдаване под наем на общинска зем. земя в района на общината, в нарушение на разпоредбата на чл.8 от ЗПУКИ (отм.) и на чл. 58 изр.1, предл. 4 от ЗПКОНПИ и на чл.8 изр.второ, предл. първо от ЗПУКИ отм., като за установения конфликт на интереси на Павлов е наложена глоба в общ размер от 60000лв /съответно по 5000лв. за всеки от случаите и отнемане в полза на общината на сумата 1117,45лв. получено дневно възнаграждение за дните на установен конфликт на интереси.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За да постанови този резултат първоинстанционният съд е приел, че от събраните по делото доказателства безпротиворечиво се установява наличието на конфликт на интереси по смисъла на закона, т.к. като кмет на община Стражица в посочения период от време с описаните по-горе действия и актове жалбоподателят е упражнявал служебните си правомощия в частен интерес на ЕТ „НИКИ – 2003 - Н. Павлов“ с управител Н. Павлов – негов брат.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Решението е неправилно, поради допуснати съществени нарушения на съдопроизводствените правила при разглеждане на спора.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Административният съд е приел за категорично установено от заключението на допуснатата съдебно-графическа експертиза, че оспорените разрешителни за почистване на дървета и храсти са подписани от Павлов, въпреки възраженията на последния за субективно отношение на вещото лице Минчев и исканията за отвод на експерта и повторна експертиза от друго вещо лице. Възприемайки заключението като обективно, добросъвестно и компетентно изготвено, съдът е отхвърлил исканията, въпреки наличието на данни за познанство и дори влошени отношения между експерта и страната, потвърдждаващи се от използваните от Минчев спрямо жалбоподателя и процесуалния му представител в последното о.с.з. обидни квалификации /неотразени в протокола, поради отказ за допускане на поправка, но споменати в решението, предмет на касационната жалба/. С оглед установеното обстоятелство /признато от експерта в о.с.з./, че при извършване на експертизата Минчев не е изследвал оригиналите на документите, а техни копия /което е абсолютно недопустимо съгласно правилата за извършване на СГЕ при наличие на оригиналите/, съдът служебно /и без заявено искане от страна по делото/ е следвало да задължи вещото лице да отговори на поставените въпроси след като изследва оригиналите на разрешителните /за местонахождението на които е получил информация от жалбоподателя/, респективно да допусне допълнителна или повторна експертиза по искане на страната. Вместо това съдът безкритично е възприел констатациите на експерта и е отхвърлил искането на Павлов за повторна СГЕ, приемайки го дори за шиканиране на процеса. Така обаче съдът е достигнал по необосновани и неподкрепени от доказателствата правни изводи.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При извеждане на фактическите констатации и правните си изводи, първоинстанционният съд е игнорирал изцяло свидетелските показания на разпитаните по делото свидетели, като е приел, че са абсолютно неотносими и не следва да ги обсъжда. Така веднъж допуснал събирането на гласни доказателства, намирайки ги за годни, относими и значими за спора доказателствени средства, като не ги е подложил на преценка и анализ съдът не е изяснил в пълнота фактическата обстановка, въз основа на която е извел правните си изводи, и поради това е постановил необоснован съдебен акт.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Друг съществен порок при провеждане на процесуалните действия в първоинстанционното производство е поизнасянето по искането на жалбоподателя за поправка на протокола от последното о.с.з. с постановяване на съдебния акт по съществото на спора. Предвид вложения от законодателя смисъл в провеждането на това междинно производство /по чл.151 ГПК/ като гаранция за правилно отразяване на процесуалните действия, свързани с пълното и всеобхватно изясняване на релевантните за спора факти, разглеждането на искането при решаването на спора по същество /дори да се игнорира погрешното му възприемане като злоупотреба с право/, поражда съмнения за предрешаване на спора.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Видно от гореизложеното, при събирането на доказателствата с цел изясняване на спора от фактическа страна, съдът е допуснал нарушения на съдопроизводствените правила - чл.171, ал.2 - 6 от АПК. Нарушенията са съществени, т.к. касаят норми, които са гаранция за правата на страните и за изясняване на правния спор, от една страна, а и защото, ако не бяха допуснати, съдът можеше да достигне и до друг правен извод, от друга.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С оглед законовата забрана за фактически установявания в касационното производство / арг. чл.220 от АПК/, с оглед изясняването на значимите за спора фактически обстоятелства, е необходимо да се извършат отново необходимите съдопроизводствени действия по събиране на надлежните доказателства, тяхната преценка и анализ, което налага отмяна на обжалваното съдебно решение и връщане на делото за ново разглеждане от друг състав на същия съд.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Предвид връщането на делото на административния съд, произнасяне по искането за разноски не се дължи.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По изложените съображения и на основание чл. 222, ал. 2, т. 1 и 2 от АПК Върховният административен съд, състав на шесто отделение,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ind w:firstLine="750"/>
              <w:jc w:val="center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РЕШИ: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ОТМЕНЯ Решение № 86/29.03.2021г. по адм. д. № 211/2020г. на Административен съд – Велико Търново.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ВРЪЩА делото за ново разглеждане от друг състав на същия съд.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Решението не подлежи на обжалване.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32">
            <w:pPr>
              <w:spacing w:before="75" w:lineRule="auto"/>
              <w:ind w:firstLine="750"/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000000"/>
                <w:sz w:val="24"/>
                <w:szCs w:val="24"/>
                <w:rtl w:val="0"/>
              </w:rPr>
              <w:t xml:space="preserve"> </w:t>
            </w:r>
          </w:p>
          <w:tbl>
            <w:tblPr>
              <w:tblStyle w:val="Table4"/>
              <w:tblW w:w="9878.0" w:type="dxa"/>
              <w:jc w:val="left"/>
              <w:tblLayout w:type="fixed"/>
              <w:tblLook w:val="0400"/>
            </w:tblPr>
            <w:tblGrid>
              <w:gridCol w:w="3737"/>
              <w:gridCol w:w="1910"/>
              <w:gridCol w:w="4231"/>
              <w:tblGridChange w:id="0">
                <w:tblGrid>
                  <w:gridCol w:w="3737"/>
                  <w:gridCol w:w="1910"/>
                  <w:gridCol w:w="4231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33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sz w:val="24"/>
                      <w:szCs w:val="24"/>
                      <w:rtl w:val="0"/>
                    </w:rPr>
                    <w:t xml:space="preserve">Вярно с оригинала,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4">
                  <w:pPr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sz w:val="24"/>
                      <w:szCs w:val="24"/>
                      <w:rtl w:val="0"/>
                    </w:rPr>
                    <w:t xml:space="preserve">ПРЕДСЕДАТЕЛ: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5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/п/ Росен Василев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36">
                  <w:pPr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sz w:val="24"/>
                      <w:szCs w:val="24"/>
                      <w:rtl w:val="0"/>
                    </w:rPr>
                    <w:t xml:space="preserve">секретар: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7">
                  <w:pPr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b w:val="1"/>
                      <w:bCs w:val="1"/>
                      <w:sz w:val="24"/>
                      <w:szCs w:val="24"/>
                      <w:rtl w:val="0"/>
                    </w:rPr>
                    <w:t xml:space="preserve">ЧЛЕНОВЕ: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8">
                  <w:pPr>
                    <w:rPr>
                      <w:rFonts w:ascii="Open Sans" w:cs="Open Sans" w:eastAsia="Open Sans" w:hAnsi="Open Sans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/п/ Хайгухи Бодикян</w:t>
                  </w:r>
                </w:p>
                <w:p w:rsidR="00000000" w:rsidDel="00000000" w:rsidP="00000000" w:rsidRDefault="00000000" w:rsidRPr="00000000" w14:paraId="00000039">
                  <w:pPr>
                    <w:spacing w:before="75" w:lineRule="auto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Open Sans" w:cs="Open Sans" w:eastAsia="Open Sans" w:hAnsi="Open Sans"/>
                      <w:sz w:val="24"/>
                      <w:szCs w:val="24"/>
                      <w:rtl w:val="0"/>
                    </w:rPr>
                    <w:t xml:space="preserve">/п/ Весела Николова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A">
            <w:pPr>
              <w:rPr>
                <w:rFonts w:ascii="Open Sans" w:cs="Open Sans" w:eastAsia="Open Sans" w:hAnsi="Open Sans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134" w:top="1134" w:left="1134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Arial Unicode MS"/>
  <w:font w:name="Times New Roman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