
<file path=[Content_Types].xml><?xml version="1.0" encoding="utf-8"?>
<Types xmlns="http://schemas.openxmlformats.org/package/2006/content-types">
  <Default ContentType="image/gif" Extension="gif"/>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48"/>
          <w:szCs w:val="48"/>
          <w:rtl w:val="0"/>
        </w:rPr>
        <w:t xml:space="preserve">РЕШЕНИЕ</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Arial Unicode MS" w:cs="Arial Unicode MS" w:eastAsia="Arial Unicode MS" w:hAnsi="Arial Unicode MS"/>
          <w:b w:val="1"/>
          <w:bCs w:val="1"/>
          <w:color w:val="000000"/>
          <w:sz w:val="36"/>
          <w:szCs w:val="36"/>
          <w:rtl w:val="0"/>
        </w:rPr>
        <w:t xml:space="preserve">№ 3273</w:t>
      </w: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36"/>
          <w:szCs w:val="36"/>
          <w:rtl w:val="0"/>
        </w:rPr>
        <w:t xml:space="preserve">София, 06.04.2022</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Open Sans" w:cs="Open Sans" w:eastAsia="Open Sans" w:hAnsi="Open Sans"/>
          <w:b w:val="1"/>
          <w:bCs w:val="1"/>
          <w:color w:val="000000"/>
          <w:sz w:val="36"/>
          <w:szCs w:val="36"/>
          <w:rtl w:val="0"/>
        </w:rPr>
        <w:t xml:space="preserve">В ИМЕТО НА НАРОДА</w:t>
      </w:r>
      <w:r w:rsidDel="00000000" w:rsidR="00000000" w:rsidRPr="00000000">
        <w:rPr>
          <w:rtl w:val="0"/>
        </w:rPr>
      </w:r>
    </w:p>
    <w:p w:rsidR="00000000" w:rsidDel="00000000" w:rsidP="00000000" w:rsidRDefault="00000000" w:rsidRPr="00000000" w14:paraId="00000002">
      <w:pPr>
        <w:shd w:fill="ffffff" w:val="clear"/>
        <w:spacing w:after="240" w:lineRule="auto"/>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27"/>
          <w:szCs w:val="27"/>
          <w:rtl w:val="0"/>
        </w:rPr>
        <w:t xml:space="preserve">Върховният административен съд на Република България - Шесто отделение, </w:t>
      </w:r>
      <w:r w:rsidDel="00000000" w:rsidR="00000000" w:rsidRPr="00000000">
        <w:rPr>
          <w:rFonts w:ascii="Open Sans" w:cs="Open Sans" w:eastAsia="Open Sans" w:hAnsi="Open Sans"/>
          <w:color w:val="000000"/>
          <w:sz w:val="27"/>
          <w:szCs w:val="27"/>
          <w:rtl w:val="0"/>
        </w:rPr>
        <w:t xml:space="preserve">в съдебно заседание на седми март две хиляди и двадесет и втора година в състав:</w:t>
      </w:r>
      <w:r w:rsidDel="00000000" w:rsidR="00000000" w:rsidRPr="00000000">
        <w:rPr>
          <w:rtl w:val="0"/>
        </w:rPr>
      </w:r>
    </w:p>
    <w:tbl>
      <w:tblPr>
        <w:tblStyle w:val="Table1"/>
        <w:tblW w:w="7992.0" w:type="dxa"/>
        <w:jc w:val="left"/>
        <w:tblLayout w:type="fixed"/>
        <w:tblLook w:val="0400"/>
      </w:tblPr>
      <w:tblGrid>
        <w:gridCol w:w="4728"/>
        <w:gridCol w:w="3264"/>
        <w:tblGridChange w:id="0">
          <w:tblGrid>
            <w:gridCol w:w="4728"/>
            <w:gridCol w:w="3264"/>
          </w:tblGrid>
        </w:tblGridChange>
      </w:tblGrid>
      <w:tr>
        <w:trPr>
          <w:cantSplit w:val="0"/>
          <w:tblHeader w:val="0"/>
        </w:trPr>
        <w:tc>
          <w:tcPr/>
          <w:p w:rsidR="00000000" w:rsidDel="00000000" w:rsidP="00000000" w:rsidRDefault="00000000" w:rsidRPr="00000000" w14:paraId="00000003">
            <w:pPr>
              <w:jc w:val="right"/>
              <w:rPr>
                <w:rFonts w:ascii="Tahoma" w:cs="Tahoma" w:eastAsia="Tahoma" w:hAnsi="Tahoma"/>
                <w:color w:val="000000"/>
                <w:sz w:val="17"/>
                <w:szCs w:val="17"/>
              </w:rPr>
            </w:pPr>
            <w:r w:rsidDel="00000000" w:rsidR="00000000" w:rsidRPr="00000000">
              <w:rPr>
                <w:rFonts w:ascii="Open Sans" w:cs="Open Sans" w:eastAsia="Open Sans" w:hAnsi="Open Sans"/>
                <w:b w:val="1"/>
                <w:bCs w:val="1"/>
                <w:color w:val="000000"/>
                <w:sz w:val="27"/>
                <w:szCs w:val="27"/>
                <w:rtl w:val="0"/>
              </w:rPr>
              <w:t xml:space="preserve">ПРЕДСЕДАТЕЛ:</w:t>
            </w:r>
            <w:r w:rsidDel="00000000" w:rsidR="00000000" w:rsidRPr="00000000">
              <w:rPr>
                <w:rtl w:val="0"/>
              </w:rPr>
            </w:r>
          </w:p>
        </w:tc>
        <w:tc>
          <w:tcPr/>
          <w:p w:rsidR="00000000" w:rsidDel="00000000" w:rsidP="00000000" w:rsidRDefault="00000000" w:rsidRPr="00000000" w14:paraId="00000004">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НИКОЛАЙ ГУНЧЕВ</w:t>
            </w:r>
            <w:r w:rsidDel="00000000" w:rsidR="00000000" w:rsidRPr="00000000">
              <w:rPr>
                <w:rtl w:val="0"/>
              </w:rPr>
            </w:r>
          </w:p>
        </w:tc>
      </w:tr>
      <w:tr>
        <w:trPr>
          <w:cantSplit w:val="0"/>
          <w:tblHeader w:val="0"/>
        </w:trPr>
        <w:tc>
          <w:tcPr/>
          <w:p w:rsidR="00000000" w:rsidDel="00000000" w:rsidP="00000000" w:rsidRDefault="00000000" w:rsidRPr="00000000" w14:paraId="00000005">
            <w:pPr>
              <w:jc w:val="right"/>
              <w:rPr>
                <w:rFonts w:ascii="Tahoma" w:cs="Tahoma" w:eastAsia="Tahoma" w:hAnsi="Tahoma"/>
                <w:color w:val="000000"/>
                <w:sz w:val="17"/>
                <w:szCs w:val="17"/>
              </w:rPr>
            </w:pPr>
            <w:r w:rsidDel="00000000" w:rsidR="00000000" w:rsidRPr="00000000">
              <w:rPr>
                <w:rFonts w:ascii="Open Sans" w:cs="Open Sans" w:eastAsia="Open Sans" w:hAnsi="Open Sans"/>
                <w:b w:val="1"/>
                <w:bCs w:val="1"/>
                <w:color w:val="000000"/>
                <w:sz w:val="27"/>
                <w:szCs w:val="27"/>
                <w:rtl w:val="0"/>
              </w:rPr>
              <w:t xml:space="preserve">ЧЛЕНОВЕ:</w:t>
            </w:r>
            <w:r w:rsidDel="00000000" w:rsidR="00000000" w:rsidRPr="00000000">
              <w:rPr>
                <w:rtl w:val="0"/>
              </w:rPr>
            </w:r>
          </w:p>
        </w:tc>
        <w:tc>
          <w:tcPr/>
          <w:p w:rsidR="00000000" w:rsidDel="00000000" w:rsidP="00000000" w:rsidRDefault="00000000" w:rsidRPr="00000000" w14:paraId="00000006">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СИБИЛА СИМЕОНОВА</w:t>
              <w:br w:type="textWrapping"/>
              <w:t xml:space="preserve">ДОБРОМИР АНДРЕЕВ</w:t>
            </w:r>
            <w:r w:rsidDel="00000000" w:rsidR="00000000" w:rsidRPr="00000000">
              <w:rPr>
                <w:rtl w:val="0"/>
              </w:rPr>
            </w:r>
          </w:p>
        </w:tc>
      </w:tr>
    </w:tbl>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sz w:val="17"/>
          <w:szCs w:val="17"/>
        </w:rPr>
      </w:pPr>
      <w:r w:rsidDel="00000000" w:rsidR="00000000" w:rsidRPr="00000000">
        <w:rPr>
          <w:rtl w:val="0"/>
        </w:rPr>
      </w:r>
    </w:p>
    <w:tbl>
      <w:tblPr>
        <w:tblStyle w:val="Table2"/>
        <w:tblW w:w="7080.0" w:type="dxa"/>
        <w:jc w:val="left"/>
        <w:tblLayout w:type="fixed"/>
        <w:tblLook w:val="0400"/>
      </w:tblPr>
      <w:tblGrid>
        <w:gridCol w:w="1932"/>
        <w:gridCol w:w="2940"/>
        <w:gridCol w:w="2208"/>
        <w:tblGridChange w:id="0">
          <w:tblGrid>
            <w:gridCol w:w="1932"/>
            <w:gridCol w:w="2940"/>
            <w:gridCol w:w="2208"/>
          </w:tblGrid>
        </w:tblGridChange>
      </w:tblGrid>
      <w:tr>
        <w:trPr>
          <w:cantSplit w:val="0"/>
          <w:tblHeader w:val="0"/>
        </w:trPr>
        <w:tc>
          <w:tcPr/>
          <w:p w:rsidR="00000000" w:rsidDel="00000000" w:rsidP="00000000" w:rsidRDefault="00000000" w:rsidRPr="00000000" w14:paraId="00000008">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при секретар </w:t>
            </w:r>
            <w:r w:rsidDel="00000000" w:rsidR="00000000" w:rsidRPr="00000000">
              <w:rPr>
                <w:rtl w:val="0"/>
              </w:rPr>
            </w:r>
          </w:p>
        </w:tc>
        <w:tc>
          <w:tcPr/>
          <w:p w:rsidR="00000000" w:rsidDel="00000000" w:rsidP="00000000" w:rsidRDefault="00000000" w:rsidRPr="00000000" w14:paraId="00000009">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Мариана Салджиева </w:t>
            </w:r>
            <w:r w:rsidDel="00000000" w:rsidR="00000000" w:rsidRPr="00000000">
              <w:rPr>
                <w:rtl w:val="0"/>
              </w:rPr>
            </w:r>
          </w:p>
        </w:tc>
        <w:tc>
          <w:tcPr/>
          <w:p w:rsidR="00000000" w:rsidDel="00000000" w:rsidP="00000000" w:rsidRDefault="00000000" w:rsidRPr="00000000" w14:paraId="0000000A">
            <w:pPr>
              <w:jc w:val="right"/>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и с участието</w:t>
            </w: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на прокурора </w:t>
            </w:r>
            <w:r w:rsidDel="00000000" w:rsidR="00000000" w:rsidRPr="00000000">
              <w:rPr>
                <w:rtl w:val="0"/>
              </w:rPr>
            </w:r>
          </w:p>
        </w:tc>
        <w:tc>
          <w:tcPr/>
          <w:p w:rsidR="00000000" w:rsidDel="00000000" w:rsidP="00000000" w:rsidRDefault="00000000" w:rsidRPr="00000000" w14:paraId="0000000C">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Симона Попова</w:t>
            </w:r>
            <w:r w:rsidDel="00000000" w:rsidR="00000000" w:rsidRPr="00000000">
              <w:rPr>
                <w:rtl w:val="0"/>
              </w:rPr>
            </w:r>
          </w:p>
        </w:tc>
        <w:tc>
          <w:tcPr/>
          <w:p w:rsidR="00000000" w:rsidDel="00000000" w:rsidP="00000000" w:rsidRDefault="00000000" w:rsidRPr="00000000" w14:paraId="0000000D">
            <w:pPr>
              <w:jc w:val="right"/>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изслуша докладваното</w:t>
            </w:r>
            <w:r w:rsidDel="00000000" w:rsidR="00000000" w:rsidRPr="00000000">
              <w:rPr>
                <w:rtl w:val="0"/>
              </w:rPr>
            </w:r>
          </w:p>
        </w:tc>
      </w:tr>
      <w:tr>
        <w:trPr>
          <w:cantSplit w:val="0"/>
          <w:tblHeader w:val="0"/>
        </w:trPr>
        <w:tc>
          <w:tcPr/>
          <w:p w:rsidR="00000000" w:rsidDel="00000000" w:rsidP="00000000" w:rsidRDefault="00000000" w:rsidRPr="00000000" w14:paraId="0000000E">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от съдията</w:t>
            </w:r>
            <w:r w:rsidDel="00000000" w:rsidR="00000000" w:rsidRPr="00000000">
              <w:rPr>
                <w:rtl w:val="0"/>
              </w:rPr>
            </w:r>
          </w:p>
        </w:tc>
        <w:tc>
          <w:tcPr/>
          <w:p w:rsidR="00000000" w:rsidDel="00000000" w:rsidP="00000000" w:rsidRDefault="00000000" w:rsidRPr="00000000" w14:paraId="0000000F">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ДОБРОМИР АНДРЕЕВ</w:t>
            </w:r>
            <w:r w:rsidDel="00000000" w:rsidR="00000000" w:rsidRPr="00000000">
              <w:rPr>
                <w:rtl w:val="0"/>
              </w:rPr>
            </w:r>
          </w:p>
        </w:tc>
        <w:tc>
          <w:tcPr/>
          <w:p w:rsidR="00000000" w:rsidDel="00000000" w:rsidP="00000000" w:rsidRDefault="00000000" w:rsidRPr="00000000" w14:paraId="00000010">
            <w:pPr>
              <w:rPr>
                <w:rFonts w:ascii="Tahoma" w:cs="Tahoma" w:eastAsia="Tahoma" w:hAnsi="Tahoma"/>
                <w:color w:val="000000"/>
                <w:sz w:val="17"/>
                <w:szCs w:val="17"/>
              </w:rPr>
            </w:pPr>
            <w:r w:rsidDel="00000000" w:rsidR="00000000" w:rsidRPr="00000000">
              <w:rPr>
                <w:rFonts w:ascii="Tahoma" w:cs="Tahoma" w:eastAsia="Tahoma" w:hAnsi="Tahoma"/>
                <w:color w:val="000000"/>
                <w:sz w:val="17"/>
                <w:szCs w:val="17"/>
              </w:rPr>
              <w:drawing>
                <wp:inline distB="0" distT="0" distL="0" distR="0">
                  <wp:extent cx="7620" cy="7620"/>
                  <wp:effectExtent b="0" l="0" r="0" t="0"/>
                  <wp:docPr descr="C:\Users\l.mladenova\Desktop\New folder (8)\Решение №3273_files\ecblank.gif" id="1" name="image1.gif"/>
                  <a:graphic>
                    <a:graphicData uri="http://schemas.openxmlformats.org/drawingml/2006/picture">
                      <pic:pic>
                        <pic:nvPicPr>
                          <pic:cNvPr descr="C:\Users\l.mladenova\Desktop\New folder (8)\Решение №3273_files\ecblank.gif" id="0" name="image1.gif"/>
                          <pic:cNvPicPr preferRelativeResize="0"/>
                        </pic:nvPicPr>
                        <pic:blipFill>
                          <a:blip r:embed="rId6"/>
                          <a:srcRect b="0" l="0" r="0" t="0"/>
                          <a:stretch>
                            <a:fillRect/>
                          </a:stretch>
                        </pic:blipFill>
                        <pic:spPr>
                          <a:xfrm>
                            <a:off x="0" y="0"/>
                            <a:ext cx="7620" cy="7620"/>
                          </a:xfrm>
                          <a:prstGeom prst="rect"/>
                          <a:ln/>
                        </pic:spPr>
                      </pic:pic>
                    </a:graphicData>
                  </a:graphic>
                </wp:inline>
              </w:drawing>
            </w:r>
            <w:r w:rsidDel="00000000" w:rsidR="00000000" w:rsidRPr="00000000">
              <w:rPr>
                <w:rtl w:val="0"/>
              </w:rPr>
            </w:r>
          </w:p>
        </w:tc>
      </w:tr>
      <w:tr>
        <w:trPr>
          <w:cantSplit w:val="0"/>
          <w:tblHeader w:val="0"/>
        </w:trPr>
        <w:tc>
          <w:tcPr>
            <w:gridSpan w:val="3"/>
          </w:tcPr>
          <w:p w:rsidR="00000000" w:rsidDel="00000000" w:rsidP="00000000" w:rsidRDefault="00000000" w:rsidRPr="00000000" w14:paraId="00000011">
            <w:pPr>
              <w:rPr>
                <w:rFonts w:ascii="Tahoma" w:cs="Tahoma" w:eastAsia="Tahoma" w:hAnsi="Tahoma"/>
                <w:color w:val="000000"/>
                <w:sz w:val="17"/>
                <w:szCs w:val="17"/>
              </w:rPr>
            </w:pPr>
            <w:r w:rsidDel="00000000" w:rsidR="00000000" w:rsidRPr="00000000">
              <w:rPr>
                <w:rFonts w:ascii="Arial" w:cs="Arial" w:eastAsia="Arial" w:hAnsi="Arial"/>
                <w:color w:val="000000"/>
                <w:sz w:val="27"/>
                <w:szCs w:val="27"/>
                <w:rtl w:val="0"/>
              </w:rPr>
              <w:t xml:space="preserve">по адм. дело № 10623/2021</w:t>
            </w:r>
            <w:r w:rsidDel="00000000" w:rsidR="00000000" w:rsidRPr="00000000">
              <w:rPr>
                <w:rFonts w:ascii="Open Sans" w:cs="Open Sans" w:eastAsia="Open Sans" w:hAnsi="Open Sans"/>
                <w:b w:val="1"/>
                <w:bCs w:val="1"/>
                <w:color w:val="000000"/>
                <w:sz w:val="27"/>
                <w:szCs w:val="27"/>
                <w:rtl w:val="0"/>
              </w:rPr>
              <w:t xml:space="preserve">. </w:t>
            </w:r>
            <w:r w:rsidDel="00000000" w:rsidR="00000000" w:rsidRPr="00000000">
              <w:rPr>
                <w:rFonts w:ascii="Open Sans" w:cs="Open Sans" w:eastAsia="Open Sans" w:hAnsi="Open Sans"/>
                <w:color w:val="9d0000"/>
                <w:sz w:val="27"/>
                <w:szCs w:val="27"/>
              </w:rPr>
              <w:drawing>
                <wp:inline distB="0" distT="0" distL="0" distR="0">
                  <wp:extent cx="114300" cy="137160"/>
                  <wp:effectExtent b="0" l="0" r="0" t="0"/>
                  <wp:docPr descr="Document Link Icon" id="2" name="image2.gif"/>
                  <a:graphic>
                    <a:graphicData uri="http://schemas.openxmlformats.org/drawingml/2006/picture">
                      <pic:pic>
                        <pic:nvPicPr>
                          <pic:cNvPr descr="Document Link Icon" id="0" name="image2.gif"/>
                          <pic:cNvPicPr preferRelativeResize="0"/>
                        </pic:nvPicPr>
                        <pic:blipFill>
                          <a:blip r:embed="rId7"/>
                          <a:srcRect b="0" l="0" r="0" t="0"/>
                          <a:stretch>
                            <a:fillRect/>
                          </a:stretch>
                        </pic:blipFill>
                        <pic:spPr>
                          <a:xfrm>
                            <a:off x="0" y="0"/>
                            <a:ext cx="114300" cy="13716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4">
      <w:pPr>
        <w:rPr/>
      </w:pPr>
      <w:bookmarkStart w:colFirst="0" w:colLast="0" w:name="_2m1lrymrwfj" w:id="0"/>
      <w:bookmarkEnd w:id="0"/>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Tahoma" w:cs="Tahoma" w:eastAsia="Tahoma" w:hAnsi="Tahoma"/>
          <w:color w:val="000000"/>
          <w:sz w:val="27"/>
          <w:szCs w:val="27"/>
          <w:rtl w:val="0"/>
        </w:rPr>
        <w:t xml:space="preserve">Производството е по реда на чл. 208 и сл. от Административно-процесуалния кодекс (АПК) във връзка с чл. 76, ал. 1 от Закона за противодействие на корупцията и отнемане на незаконно придобито имущество (ЗПКОНПИ).</w:t>
        <w:br w:type="textWrapping"/>
        <w:t xml:space="preserve">Образувано е по касационна жалба на Ж. Чешмеджиев от гр. Велинград, подадена чрез пълномощника адвокат Митева, срещу решение № 614 от 21.07.2021 г. по адм. д. № 1358/2020 г. на Административен съд - Пазарджик, с което: 1. е отхвърлена като неоснователна жалбата Ж. Чешмеджиев против </w:t>
      </w:r>
      <w:r w:rsidDel="00000000" w:rsidR="00000000" w:rsidRPr="00000000">
        <w:rPr>
          <w:rFonts w:ascii="Tahoma" w:cs="Tahoma" w:eastAsia="Tahoma" w:hAnsi="Tahoma"/>
          <w:b w:val="1"/>
          <w:bCs w:val="1"/>
          <w:color w:val="000000"/>
          <w:sz w:val="27"/>
          <w:szCs w:val="27"/>
          <w:rtl w:val="0"/>
        </w:rPr>
        <w:t xml:space="preserve">Решение № РС -278-20-107/28.10.2020 г. на Комисия за противодействие на корупцията и за отнемане на незаконно придобитото имущество</w:t>
      </w:r>
      <w:r w:rsidDel="00000000" w:rsidR="00000000" w:rsidRPr="00000000">
        <w:rPr>
          <w:rFonts w:ascii="Tahoma" w:cs="Tahoma" w:eastAsia="Tahoma" w:hAnsi="Tahoma"/>
          <w:color w:val="000000"/>
          <w:sz w:val="27"/>
          <w:szCs w:val="27"/>
          <w:rtl w:val="0"/>
        </w:rPr>
        <w:t xml:space="preserve">, в частта с която е установен конфликт на интереси по отношение на Ж. Чешмеджиев, управител на "МБАЛ-Велинград" ЕООД, и в това му качество лице, заемащо висша публична длъжност по смисъла на чл. 6, ал. 1, т. 46 от ЗПКОНПИ, за това, че е подписал договор от 01.04.2019 г. с "Медицински център Велинград 2017" ЕООД в свой частен интерес, в нарушение на разпоредбата на чл. 58, изр. второ, предл. първо от ЗПКОНПИ. Наложена е глоба в размер на 5000 (пет хиляди) лв. на Ж. Чешмеджиев, управител на "МБАЛ-Велинград" ЕООД, на основание чл. 171, ал. 1 от ЗПКОНПИ, за осъществен конфликт на интереси по чл. 52 от ЗПКОНПИ за извършено нарушение на разпоредбата на чл. 58, изр. второ, предл. първо от ЗПКОНПИ, в качеството му на лице, заемащо висша публична длъжност по смисъла на чл. 6, ал. 1, т. 46 от ЗПКОНПИ. Отнето е в полза на Община Велинград от Ж. Чешмеджиев, сума в размер на 164, 52 лева. (сто шестдесет и четири лева и петдесет и две стотинки), представляваща дневно възнаграждение за 01.04.2019 г., получено от деянието, породило конфликт на интереси, на основание чл. 81, ал. 1 от ЗПКОНПИ. Отнето е в полза на държавата от Ж. Чешмеджиев, сума в размер на 21 668, 59 лева (двадесет и една хиляди шестстотин шестдесет и осем лева и петдесет и девет стотинки), представляваща материална облага, реализирана от управител на "МБАЛ-Велинград"; 2. оставена е без разглеждане като недопустима жалбата в останалата част и 3. осъден е Ж. Чешмеджиев да заплати на Комисията за противодействие на корупцията и за отнемане на незаконно придобитото имущество, сумата от 100 (сто) лева, юрисконсултско възнаграждение.</w:t>
        <w:br w:type="textWrapping"/>
        <w:t xml:space="preserve">Касационният жалбоподател счита, че обжалваното решение е неправилно, незаконосъобразно, необосновано и постановено при съществени процесуални нарушения-касационните основания за отмяна по чл. 209, т. 3 АПК. В жалбата се сочи, че в частта, с която жалбата е оставена без разглеждане съдът се е произнесъл свръхпетитум, тъй като жалбоподателят не е оспорил акта в в частта, с която не е установен конфликт на интереси. С оглед това жалбоподателят счита, че решението в тази му част следва да бъде обезсилено като недопустимо. Изложени са твърдения, че оспореното решение е постановено при неправилно установена и възприета фактическа обстановка и липса на осъществен фактически състав на чл. 52 ЗПКОНПИ. Релевирани са доводи, че не е доказано наличието на деяние, което да породило конфликт на интереси, както и на частен интерес и възможността този частен интерес да повлияе върху безпристрастното и обективното изпълнение на правомощията или задълженията му по служба. Твърди се липса на реквизити по чл. 74, ал. 2 ЗПКОНПИ и чл. 59, ал. 2 от АПК, както и превратно тълкуване на фактите от административния орган. По подробно изложените в касационната жалба, в съдебно заседание и в представените от пълномощника адв. Чешмеджиев писмени бележки съображения се иска отмяна на решението и постановяване на ново по съществото на спора, с което да се уважи изцяло жалбата му. Претендират се разноски за две съдебни инстанции.</w:t>
        <w:br w:type="textWrapping"/>
        <w:t xml:space="preserve">Ответникът по касационната жалба - Комисията за противодействие на корупцията и отнемане на незаконно придобитото имущество (КПКОНПИ, Комисията), чрез процесуалния представител старши юрисконсулт С. Гангалов, в писмен отговор изразява становище за неоснователност на касационните оплаквания. Претендира юрисконсултско възнаграждение за касационната инстанция. </w:t>
        <w:br w:type="textWrapping"/>
        <w:t xml:space="preserve">Представителят на Върховната административна прокуратура дава мотивирано заключение за неоснователност на касационната жалба.</w:t>
        <w:br w:type="textWrapping"/>
        <w:t xml:space="preserve">Предмет на съдебен контрол в производството пред Административен съд - Пазарджик е решение № РС -278-20-107/28.10.2020 г., с което Комисията за противодействие на корупцията и за отнемане на незаконно придобитото имущество (КПКОНПИ) е установила конфликт на интереси по отношение на Ж. Чешмеджиев, управител на "МБАЛ-Велинград" ЕООД и в това му качество лице, заемащо висша публична длъжност по смисъла на чл. 6, ал. 1, т. 46 от ЗПКОНПИ, за това, че e подписал договор от 01.04.2019 г. с "Медицински център Велинград 2017" ЕООД в свой частен интерес, в нарушение на разпоредбата на чл. 58, изр. второ, предл. първо от ЗПКОНПИ, за което е наложила на Ж. Чешмеджиев глоба в размер на 5000 лв., постановила е отнемане в полза на Община Велинград на сума в размер на 164,52 лева представляваща дневно възнаграждение за 01.04.2019 г., получено от деянието, породило конфликт на интереси, и отнемане в полза на Държавата на сума в размер на 21 668,59 лева, представляваща материална облага, реализирана от Чешмеджиев. </w:t>
        <w:br w:type="textWrapping"/>
        <w:t xml:space="preserve">С останалата част от решението КПКОНПИ не установява конфликт на интереси по отношение на Ж. Чешмеджиев, управител на "МБАЛ-Велинград" ЕООД и в това му качество лице, заемащо висша публична длъжност по смисъла на чл. 6, ал. 1, т. 46 от ЗПКОНПИ, във връзка с подписване на договори от 05.04.2018 г. и 01.03.2019 г. и споразумение за прихващане от 20.12.2019 г. с "Медицински център Велинград 2017" ЕООД, поради липса на частен интерес. С оспореното съдебно решение жалбата срещу решението на КПКОНПИ в тази му част е оставена без разглеждане от първоинстанционния съд като недопустима поради липса на правен интерес.</w:t>
        <w:br w:type="textWrapping"/>
        <w:t xml:space="preserve">Съдебното решение в тази му част има характер на прекратително определение, поради което е подлежало на оспорване 7-дневен срок от съобщаване на страната. Редът и срокът за обжалване на решението в тази му част не са посочени в съдебния акт, а единствено е посочено, че решението подлежи на обжалване в 14-дневен срок от съобщаването му на страните. Частната жалба е подадена след законоустановения, но в определения от съда срок, поради което е изпълнена хипотезата на чл. 62, ал. 3 ГПК, вр. с чл. 144 АПК, поради което жалбата като подадена в срок и от надлежна страна се приема за допустима. Същата се явява и основателна. Видно от подадената пред АС-Пазарджик жалба решение № РС -278-20-107/28.10.2020 г. на КПКОНПИ е оспорено единствено в частта, с която е установен конфликт на интереси, наложена е глоба и е постановено отнемане в полза на Държавата и община Велинград. В останалата част решението не е оспорено. Налице е произнасяне извън предмета на оспорване, което налага обезсилване на съдебното решение в тази част като недопустимо и прекратяване на производството по делото.</w:t>
        <w:br w:type="textWrapping"/>
        <w:t xml:space="preserve">Касационната жалба е допустима, като подадена в срока по чл. 211, ал. 1 АПК от надлежна страна с правен интерес по смисъла на чл. 210, ал. 1 АПК срещу подлежащ на обжалване съдебен акт.</w:t>
        <w:br w:type="textWrapping"/>
        <w:t xml:space="preserve">Разгледана по същество е неоснователна.</w:t>
        <w:br w:type="textWrapping"/>
        <w:t xml:space="preserve">Административното производство пред КПКОНПИ е започнато по сигнал с рег. № ЦУ01/С-278/07.04.2020 година, насочен срещу Ж. Чешмеджиев — управител на "Многопрофилна болница за активно лечение - Велинград" ("МБАЛ-Велинград") ЕООД, ведно с приложени документи. В сигнала са изложени твърдения, че Чешмеджиев освен като управител на "МБАЛ-Велинград" ЕООД работи едновременно и в "Медицински център Велинград 2017" ЕООД за което получава възнаграждение, в нарушение на изискванията, определени в Устава на "МБАЛ-Велинград" ЕООД и в Наредба за реда за учредяване на търговски дружества и упражняване на правата на собственост на общината в търговските дружества на Общински съвет-Велинград. В сигнала се съдържат и твърдения, че Чешмеджиев е подписал като "ръководител" два документа: Отчет за приходите и разходите на "Медицински център Велинград 2017" ЕООД към 31.12.2019 г. и Счетоводен баланс на "Медицински център Велинград 2017" ЕООД към 31.12.2019 г. и по този начин фактически действал като "управител" и на двете търговски дружества. Извършена е проверка, при която са събрани относими доказателства и са установени релевантни обстоятелства. На 16.07.2020 г. е отправена Покана за изслушване до Чешмеджиев. На 22.07.2020 г. е проведено заседание на Комисията, на което Чешмеджиев е присъствал, запознат е с всички събрани доказателства, като с обяснение с вх. № 13037/29.07.2020 г. е подал допълнителни обяснения до Комисията и е представил доказателства в подкрепа на твърденията си.</w:t>
        <w:br w:type="textWrapping"/>
        <w:t xml:space="preserve">Първоинстанционният съд е посочил, че атакуваният административен акт е постановен от компетентен орган, при спазване на изискванията на закона за неговата форма и съдържание, без допуснати съществени нарушения на административнопроизводствените правила в съответствие с приложимите материалноправни разпоредби и целта на закона. За да отхвърли подадената жалба съдът е приел за установени трите кумулативни предпоставки от фактическия състав на конфликт на интереси по смисъла на чл. 52 от ЗПКОНПИ: лице, заемащо висша публична длъжност, наличие на негов частен интерес, както и възможност частният интерес да повлияе върху безпристрастното и обективното изпълнение на правомощията или задълженията му по служба. Съдът е приел, че е налице икономическа зависимост водеща до свързаност по смисъла на § 1, т. 15, б. "б." от ЗПКОНПИ между Чешмеджиев и "МЦ Велинград 2017" ЕООД, която поражда основателни съмнения в безпристрастност и обективност при изпълнение на правомощията му по служба, в качеството му на управител на "Многопрофилна болница за активно лечение-Велинград" ЕООД, тъй като неговите властнически правомощия са осъществени без своевременна санкция или предварително разрешение от Общински съвет Велинград. В конкретният случай са отдадени не само помещения, но и оборудване и техника от "МБАЛ Велинград" ЕООД на "МЦ Велинград 2017" ЕООД, без за това да има решение на Общински съвет Велинград. Такова решение е взето едва след постановяване на процесното решение - Решение № 296/12.11.2020 г., взето на заседание на Общински съвет Велинград на 12.11.2020 г., без обаче техниката и оборудването да са упоменати в него. Първоинстанционният съд е споделил направеният от административния орган извод, че подписването на договора за наем от 01.04.2019 г., с който се предоставят помещения с медицинско оборудване на "Медицински център Велинград 2017" ЕООД, води до възможността дружеството да осъществява дейност, а вследствие на това Чешмеджиев да може да оказва специализирана извънболнична медицинска помощ в същото лечебното заведение, с което той има сключени граждански договори № 7/02.01.2019 г. и № 6/02.01.2020 г., от които генерира ежемесечни доходи. Облагата се изразява във възможността Чешмеджиев да получи доход в пари. Наличието на облага води до наличие на частен интерес, а от там и до конфликт на интереси.</w:t>
        <w:br w:type="textWrapping"/>
        <w:t xml:space="preserve">Така постановеното решение е валидно, допустимо и правилно.</w:t>
        <w:br w:type="textWrapping"/>
        <w:t xml:space="preserve">Касационният довод за необоснованост е неоснователен. Първоинстанционният административен съд е извършил самостоятелна преценка на събраните по делото доказателства и на доводите на страните, постановил е решението си при изяснена фактическа обстановка и е подвел фактите под вярната правна квалификация. Формираното вътрешно убеждение не се отклонява от правилата на формалната и правната логика, а фактическите и правните изводи на съда не са опорочени от грешки и превратно тълкуване в насоки, които не са нормирани от закона. Неоснователни и недоказани са изложените в касационната жалба твърдения за погрешно възприета от първоинстанционния съд фактическа обстановка.</w:t>
        <w:br w:type="textWrapping"/>
        <w:t xml:space="preserve">Неправилно е поддържаното в касационната жалба становище за нарушение на административнопроцесуалното правила на чл. 74, ал. 2 от ЗПКОНПИ. В решението са изложени конкретни съображения, мотивирали органа да го издаде, с подробно описание на възприетата фактическа обстановка и направените въз основа на нея правни изводи. Релевираните от лицето възражения в административното производство и доказателствата, представени пред административния орган, са посочени и обсъдени в мотивите на решението. При спазване на т. 3 на ал. 2 в диспозитивната част на акта е посочена нарушената разпоредба на раздел II от глава осма на ЗПКОНПИ - чл. 58, изр. второ, предл. първо. При издаването му не са допуснати съществени нарушения на административнопроизводствените правила, лицето е уведомено за възможността да бъде изслушано, както и да подаде възражения, след като се запознае с доказателствата по преписката и представи допълнителни такива с оглед предприетото право на защита събрани са относимите доказателства, проведено е изслушване на лицето, срещу което е образувано производството.</w:t>
        <w:br w:type="textWrapping"/>
        <w:t xml:space="preserve">Безспорно установено по делото е, а и не се спори за това, че касаторът притежава качеството на лице заемащо висша публична длъжност, по смисъла на чл. 6, ал. 1, т. 46 от ЗПКОНПИ, като управител на "МБАЛ Велинград" ЕООД. Административният орган е приел, че Чешмеджиев в това му качество е упражнил правомощия по служба в частен интерес, обоснован като материална облага по смисъла на чл. 54 от ЗПКОНПИ, изразяваща се в получаван месечен доход в общ размер на 21668,59 лева за периода от сключване на договора за наем - 01.04.2019 г. до момента на постановяване на процесното решение на КПКОНПИ. В мотивите си съдът правилно е приел, че е доказано наличието на икономическа зависимост и че тя е породила основателни съмнения в безпристрастността и обективността на лицето, което заема висша публична длъжност. Въпреки, че ВАС в своята практика нееднократно е изразявал становище, че само по себе си наличието на двустранно и възмездно правоотношение по трудов договор или граждански договор не предполага конфликт на интереси тази преценка се прави за всеки конкретен случай и при съобразяване на неговата специфика. Както е посочено в Решение № 6781/20.05.2014 г. по адм. д. № 324/2014 г., VІІ отд. на ВАС, икономическата зависимост по смисъла на ЗПУКИ, респ. ЗПКОНПИ, може да има различни практически хипотези и една от тях е трудовия или граждански договор, сключен между лице, заемащо публична длъжност и друго лице /в този смисъл е и Решение № 2577 от 24.02.2014 г. по адм. д. № 11179/2013 г., VІІ отд./. </w:t>
        <w:br w:type="textWrapping"/>
        <w:t xml:space="preserve">По делото е установено, че в качеството му на управител на "МБАЛ Велинград" ЕООД Чешмеджиев е подписал договор за наем от 01.04.2019 г. с "Медицински център Велинград 2017" ЕООД, с който управляваното и представлявано от него дружество "МБАЛ Велинград" ЕООД отдава за нуждите на "Медицински център Велинград 2017" ЕООД 12 бр. помещения, ведно с наличното медицинско оборудване и техника, находящи се на етаж първи от прилежаща сграда в двора на "МБАЛ-Велинград" ЕООД, за срок от 5 години, считано от 01.04.2019 г. Безспорно е и че към датата на сключване на договора Чешмеджиев е изпълнител по граждански договор № 7/02.01.2019 г., по силата на който му е възложено да оказва специализирана извънболнична медицинска помощ по медицинска специалност "Ортопедия и травматология". По преписката са приложени и граждански договор № 3/01.06.2018 г. и граждански договор № 6/02.01.2020 г. с идентични предмет и страни. Сключеният договор за наем и предоставянето на наетите помещения на дружеството е въпрос свързан с функционирането на лечебното заведение, а оттам и със съществуването на дружеството-наемател. Видно от свидетелските показания на разпитаните в проведеното на 26.04.2021 г. съдебно заседание свидетели Хаджиев и Палигоров е, че медицинският център не би могъл да съществува без базата на болницата, сключването на договора за наем е необходимо с оглед последващото сключване на договор с НЗОК, а целта на създаването "Медицински център Велинград 2017" ЕООД е гарантиране на работа и допълнителен доход на лекарите, работещи и в „МБАЛ-Велинград" ЕООД. С оглед посочените обстоятелства се установява наличието на обусловеност между сключването на договора за наем и осъществяване на дейността на дружеството, което на свой ред е необходимо условие за реализиране на работата и получаването на възнаграждение от Чешмеджиев по сключения от него граждански договор. Налице е причинна връзка между подписването на договора за наем и възможността за получаване на доход в пари от Чешмеджиев, представляващ материална облага по смисъла на чл. 54 от ЗПКОНПИ. Възможността за получаване на такава облага, за Чешмеджиев като лице, заемащо висша публична длъжност, представлява частен интерес по смисъла на чл. 53 от ЗПКОНПИ.</w:t>
        <w:br w:type="textWrapping"/>
      </w:r>
      <w:r w:rsidDel="00000000" w:rsidR="00000000" w:rsidRPr="00000000">
        <w:rPr>
          <w:rFonts w:ascii="Tahoma" w:cs="Tahoma" w:eastAsia="Tahoma" w:hAnsi="Tahoma"/>
          <w:color w:val="000000"/>
          <w:sz w:val="17"/>
          <w:szCs w:val="17"/>
          <w:rtl w:val="0"/>
        </w:rPr>
        <w:t xml:space="preserve">Както правилно е посочил решаващият съд законодателят е възприел частният интерес като мотив, движеща сила, цел на действията или бездействията на овластеното лице. Конфликтът на интереси е преди всичко деяние, което е в отклонение и противоречие на публичния интерес. Конфликтът на интереси като административно нарушение, има формален характер, достатъчно е частният интерес да съществува като възможност, която мотивира лицето да действа, упражнявайки правомощията си.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на законоустановените критерии.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w:t>
        <w:br w:type="textWrapping"/>
        <w:t xml:space="preserve">Процесното решение на КПКОНПИ съответства и на целта на закона. Съгласно чл. 2, т. 2 от ЗПКОНПИ, законът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Целта на закона е не само да попречи на възможността за незаконно обогатяване и/или за получаване на нематериални облаги чрез използване на служебното положение на лице, заемащо публична длъжност, но и да се изключи каквото и да е съмнение, че при извършването на съответното действие това лице се ръководи от частен интерес, който би могъл да повлияе върху безпристрастното и обективното изпълнение на правомощията или задълженията му по служба.</w:t>
        <w:br w:type="textWrapping"/>
        <w:t xml:space="preserve">Първоинстанционният съд е извършил проверка за законосъобразност на всички основания по чл. 146 от АПК. Оспореният административен акт е издаден при спазване на процесуалноправните и материалноправните предпоставки за законосъобразност и в съответствие с целта на закона, поради което обжалваното съдебно решение следва да бъде оставено в сила като обосновано и правилно.</w:t>
        <w:br w:type="textWrapping"/>
        <w:t xml:space="preserve">С оглед изхода на спора в полза на КПКОНПИ следва да бъде присъдено юрисконсултско възнаграждение за тази инстанция в размер на 100,00 (сто) лева, определено на основание чл. 78, ал. 8 от ГПК във вр. с чл. 37, ал. 1 от Закона за правната помощ и чл. 24 от Наредбата за заплащане на правната помощ.</w:t>
        <w:br w:type="textWrapping"/>
        <w:t xml:space="preserve">По изложените съображения и на основание чл. 221, ал. 2 и ал. 3 от АПК Върховният административен съд, шесто отделение,</w:t>
        <w:br w:type="textWrapping"/>
        <w:br w:type="textWrapping"/>
        <w:t xml:space="preserve">РЕШИ:</w:t>
        <w:br w:type="textWrapping"/>
        <w:br w:type="textWrapping"/>
        <w:t xml:space="preserve">ОБЕЗСИЛВА решение № 614 от 21.07.2021 г. по адм. д. № 1358/2020 г. на Административен съд - Пазарджик в частта, с която оставена без разглеждане жалбата на Ж. Чешмеджиев и ПРЕКРАТЯВА производството по делото в тази част.</w:t>
        <w:br w:type="textWrapping"/>
        <w:t xml:space="preserve">ОСТАВЯ В СИЛА решение № 614 от 21.07.2021 г. по адм. д. № 1358/2020 г. на Административен съд – Пазарджик в останалата му част.</w:t>
        <w:br w:type="textWrapping"/>
        <w:t xml:space="preserve">ОСЪЖДА Ж. Чешмеджиев от гр. Велинград, да заплати на Комисията за противодействие на корупцията и за отнемане на незаконно придобитото имущество юрисконсултско възнаграждение за касационната инстанция в размер 100,00 (сто) лева.</w:t>
        <w:br w:type="textWrapping"/>
        <w:t xml:space="preserve">Решението не подлежи на обжалване.</w:t>
      </w: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Arial"/>
  <w:font w:name="Tahoma">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gif"/><Relationship Id="rId7" Type="http://schemas.openxmlformats.org/officeDocument/2006/relationships/image" Target="media/image2.gif"/></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