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3td7ft4zasav" w:id="0"/>
    <w:bookmarkEnd w:id="0"/>
    <w:p w:rsidR="00000000" w:rsidDel="00000000" w:rsidP="00000000" w:rsidRDefault="00000000" w:rsidRPr="00000000" w14:paraId="00000001">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420" w:lineRule="auto"/>
        <w:ind w:left="0" w:right="240" w:firstLine="0"/>
        <w:jc w:val="center"/>
        <w:rPr>
          <w:rFonts w:ascii="Arial" w:cs="Arial" w:eastAsia="Arial" w:hAnsi="Arial"/>
          <w:b w:val="1"/>
          <w:bCs w:val="1"/>
          <w:i w:val="0"/>
          <w:iCs w:val="0"/>
          <w:smallCaps w:val="0"/>
          <w:strike w:val="0"/>
          <w:color w:val="000000"/>
          <w:sz w:val="42"/>
          <w:szCs w:val="42"/>
          <w:u w:val="none"/>
          <w:shd w:fill="auto" w:val="clear"/>
          <w:vertAlign w:val="baseline"/>
        </w:rPr>
      </w:pPr>
      <w:bookmarkStart w:colFirst="0" w:colLast="0" w:name="_x9pvrdid6u3j" w:id="1"/>
      <w:bookmarkEnd w:id="1"/>
      <w:r w:rsidDel="00000000" w:rsidR="00000000" w:rsidRPr="00000000">
        <w:rPr>
          <w:rFonts w:ascii="Arial" w:cs="Arial" w:eastAsia="Arial" w:hAnsi="Arial"/>
          <w:b w:val="1"/>
          <w:bCs w:val="1"/>
          <w:i w:val="0"/>
          <w:iCs w:val="0"/>
          <w:smallCaps w:val="0"/>
          <w:strike w:val="0"/>
          <w:color w:val="000000"/>
          <w:sz w:val="42"/>
          <w:szCs w:val="42"/>
          <w:u w:val="none"/>
          <w:shd w:fill="auto" w:val="clear"/>
          <w:vertAlign w:val="baseline"/>
          <w:rtl w:val="0"/>
        </w:rPr>
        <w:t xml:space="preserve">Р Е Ш Е Н И Е</w:t>
      </w:r>
    </w:p>
    <w:bookmarkStart w:colFirst="0" w:colLast="0" w:name="qzvqwlthvsc" w:id="2"/>
    <w:bookmarkEnd w:id="2"/>
    <w:p w:rsidR="00000000" w:rsidDel="00000000" w:rsidP="00000000" w:rsidRDefault="00000000" w:rsidRPr="00000000" w14:paraId="00000002">
      <w:pPr>
        <w:keepNext w:val="1"/>
        <w:keepLines w:val="1"/>
        <w:pageBreakBefore w:val="0"/>
        <w:widowControl w:val="0"/>
        <w:pBdr>
          <w:top w:space="0" w:sz="0" w:val="nil"/>
          <w:left w:space="0" w:sz="0" w:val="nil"/>
          <w:bottom w:space="0" w:sz="0" w:val="nil"/>
          <w:right w:space="0" w:sz="0" w:val="nil"/>
          <w:between w:space="0" w:sz="0" w:val="nil"/>
        </w:pBdr>
        <w:shd w:fill="auto" w:val="clear"/>
        <w:spacing w:after="906" w:before="0" w:line="240" w:lineRule="auto"/>
        <w:ind w:left="0" w:right="6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5153</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554" w:before="0" w:line="230" w:lineRule="auto"/>
        <w:ind w:left="80" w:right="0" w:firstLine="0"/>
        <w:jc w:val="center"/>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гр. София, 31.07.2023 г.</w:t>
      </w:r>
    </w:p>
    <w:bookmarkStart w:colFirst="0" w:colLast="0" w:name="8r2ngwdnh1ug" w:id="3"/>
    <w:bookmarkEnd w:id="3"/>
    <w:p w:rsidR="00000000" w:rsidDel="00000000" w:rsidP="00000000" w:rsidRDefault="00000000" w:rsidRPr="00000000" w14:paraId="00000004">
      <w:pPr>
        <w:keepNext w:val="1"/>
        <w:keepLines w:val="1"/>
        <w:pageBreakBefore w:val="0"/>
        <w:widowControl w:val="0"/>
        <w:pBdr>
          <w:top w:space="0" w:sz="0" w:val="nil"/>
          <w:left w:space="0" w:sz="0" w:val="nil"/>
          <w:bottom w:space="0" w:sz="0" w:val="nil"/>
          <w:right w:space="0" w:sz="0" w:val="nil"/>
          <w:between w:space="0" w:sz="0" w:val="nil"/>
        </w:pBdr>
        <w:shd w:fill="auto" w:val="clear"/>
        <w:spacing w:after="547" w:before="0" w:line="240" w:lineRule="auto"/>
        <w:ind w:left="278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В ИМЕТО НА НАРОДА</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6" w:before="0" w:line="240" w:lineRule="auto"/>
        <w:ind w:left="0" w:right="60" w:firstLine="0"/>
        <w:jc w:val="center"/>
        <w:rPr>
          <w:rFonts w:ascii="Arial" w:cs="Arial" w:eastAsia="Arial" w:hAnsi="Arial"/>
          <w:b w:val="1"/>
          <w:bCs w:val="1"/>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
          <w:szCs w:val="23"/>
          <w:u w:val="none"/>
          <w:shd w:fill="auto" w:val="clear"/>
          <w:vertAlign w:val="baseline"/>
          <w:rtl w:val="0"/>
        </w:rPr>
        <w:t xml:space="preserve">АДМИНИСТРАТИВЕН СЪД - СОФИЯ-ГРАД,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Второ отделение 38 състав</w:t>
      </w:r>
      <w:r w:rsidDel="00000000" w:rsidR="00000000" w:rsidRPr="00000000">
        <w:rPr>
          <w:rFonts w:ascii="Arial" w:cs="Arial" w:eastAsia="Arial" w:hAnsi="Arial"/>
          <w:b w:val="1"/>
          <w:bCs w:val="1"/>
          <w:i w:val="0"/>
          <w:iCs w:val="0"/>
          <w:smallCaps w:val="0"/>
          <w:strike w:val="0"/>
          <w:color w:val="000000"/>
          <w:sz w:val="23"/>
          <w:szCs w:val="23"/>
          <w:u w:val="none"/>
          <w:shd w:fill="auto" w:val="clear"/>
          <w:vertAlign w:val="baseline"/>
          <w:rtl w:val="0"/>
        </w:rPr>
        <w:t xml:space="preserve">,</w:t>
      </w:r>
    </w:p>
    <w:bookmarkStart w:colFirst="0" w:colLast="0" w:name="gv2mc0gqumsc" w:id="4"/>
    <w:bookmarkEnd w:id="4"/>
    <w:p w:rsidR="00000000" w:rsidDel="00000000" w:rsidP="00000000" w:rsidRDefault="00000000" w:rsidRPr="00000000" w14:paraId="00000006">
      <w:pPr>
        <w:keepNext w:val="1"/>
        <w:keepLines w:val="1"/>
        <w:pageBreakBefore w:val="0"/>
        <w:widowControl w:val="0"/>
        <w:pBdr>
          <w:top w:space="0" w:sz="0" w:val="nil"/>
          <w:left w:space="0" w:sz="0" w:val="nil"/>
          <w:bottom w:space="0" w:sz="0" w:val="nil"/>
          <w:right w:space="0" w:sz="0" w:val="nil"/>
          <w:between w:space="0" w:sz="0" w:val="nil"/>
        </w:pBdr>
        <w:shd w:fill="auto" w:val="clear"/>
        <w:spacing w:after="14" w:before="0" w:line="230" w:lineRule="auto"/>
        <w:ind w:left="160" w:right="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в публично заседание на 14.06.2023 г. в следния състав:</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1296" w:before="0" w:line="240" w:lineRule="auto"/>
        <w:ind w:left="5160" w:right="0" w:firstLine="0"/>
        <w:jc w:val="left"/>
        <w:rPr>
          <w:rFonts w:ascii="Arial" w:cs="Arial" w:eastAsia="Arial" w:hAnsi="Arial"/>
          <w:b w:val="1"/>
          <w:bCs w:val="1"/>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СЪДИЯ</w:t>
      </w:r>
      <w:r w:rsidDel="00000000" w:rsidR="00000000" w:rsidRPr="00000000">
        <w:rPr>
          <w:rFonts w:ascii="Arial" w:cs="Arial" w:eastAsia="Arial" w:hAnsi="Arial"/>
          <w:b w:val="1"/>
          <w:bCs w:val="1"/>
          <w:i w:val="0"/>
          <w:iCs w:val="0"/>
          <w:smallCaps w:val="0"/>
          <w:strike w:val="0"/>
          <w:color w:val="000000"/>
          <w:sz w:val="23"/>
          <w:szCs w:val="23"/>
          <w:u w:val="none"/>
          <w:shd w:fill="auto" w:val="clear"/>
          <w:vertAlign w:val="baseline"/>
          <w:rtl w:val="0"/>
        </w:rPr>
        <w:t xml:space="preserve">: Татяна Жилова</w:t>
      </w:r>
    </w:p>
    <w:bookmarkStart w:colFirst="0" w:colLast="0" w:name="jjzmqrk0gv5b" w:id="5"/>
    <w:bookmarkEnd w:id="5"/>
    <w:p w:rsidR="00000000" w:rsidDel="00000000" w:rsidP="00000000" w:rsidRDefault="00000000" w:rsidRPr="00000000" w14:paraId="00000008">
      <w:pPr>
        <w:keepNext w:val="1"/>
        <w:keepLines w:val="1"/>
        <w:pageBreakBefore w:val="0"/>
        <w:widowControl w:val="0"/>
        <w:pBdr>
          <w:top w:space="0" w:sz="0" w:val="nil"/>
          <w:left w:space="0" w:sz="0" w:val="nil"/>
          <w:bottom w:space="0" w:sz="0" w:val="nil"/>
          <w:right w:space="0" w:sz="0" w:val="nil"/>
          <w:between w:space="0" w:sz="0" w:val="nil"/>
        </w:pBdr>
        <w:shd w:fill="auto" w:val="clear"/>
        <w:spacing w:after="184" w:before="0" w:line="278.00000000000006" w:lineRule="auto"/>
        <w:ind w:left="160" w:right="24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при участието на секретаря Елена Георгиева, </w:t>
      </w: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като разгледа дело номер </w:t>
      </w:r>
      <w:r w:rsidDel="00000000" w:rsidR="00000000" w:rsidRPr="00000000">
        <w:rPr>
          <w:rFonts w:ascii="Arial" w:cs="Arial" w:eastAsia="Arial" w:hAnsi="Arial"/>
          <w:b w:val="1"/>
          <w:bCs w:val="1"/>
          <w:i w:val="0"/>
          <w:iCs w:val="0"/>
          <w:smallCaps w:val="0"/>
          <w:strike w:val="0"/>
          <w:color w:val="000000"/>
          <w:sz w:val="23"/>
          <w:szCs w:val="23"/>
          <w:u w:val="none"/>
          <w:shd w:fill="auto" w:val="clear"/>
          <w:vertAlign w:val="baseline"/>
          <w:rtl w:val="0"/>
        </w:rPr>
        <w:t xml:space="preserve">12693 </w:t>
      </w: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по описа за </w:t>
      </w:r>
      <w:r w:rsidDel="00000000" w:rsidR="00000000" w:rsidRPr="00000000">
        <w:rPr>
          <w:rFonts w:ascii="Arial" w:cs="Arial" w:eastAsia="Arial" w:hAnsi="Arial"/>
          <w:b w:val="1"/>
          <w:bCs w:val="1"/>
          <w:i w:val="0"/>
          <w:iCs w:val="0"/>
          <w:smallCaps w:val="0"/>
          <w:strike w:val="0"/>
          <w:color w:val="000000"/>
          <w:sz w:val="23"/>
          <w:szCs w:val="23"/>
          <w:u w:val="none"/>
          <w:shd w:fill="auto" w:val="clear"/>
          <w:vertAlign w:val="baseline"/>
          <w:rtl w:val="0"/>
        </w:rPr>
        <w:t xml:space="preserve">2021 </w:t>
      </w: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година докладвано от съдията, и за да се произнесе взе предвид следното:</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38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Съдебното производство е по реда на чл. 145 - 178 от Административнопроцесуалния кодекс (АПК) във връзка с чл. 76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38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Образувано по жалба на Р. П. Г. от [населено място], подадена чрез пълномощника му адвокат П. Б., срещу Решение №РС-785-21-089 от 17.11.2021 г. на Комисията за противодействие на корупцията и за отнемане на незаконно придобитото имущество (КПКОНПИ), в частта му, с която: 1)по отношение на жалбоподателя е установен конфликт на интереси в качеството му на изпълнителен директор на Многопрофилна болница за активно лечение „Лозенец“ ЕАД за това, че е гласувал „за“ приемане на Решение на съвета на директорите на лечебното заведение по т.2 от Протокол №Х-53/05.07.2021г. в свой частен интерес - нарушение на чл.56 от ЗПКОНПИ; 2) установен е конфликт на интереси за това, че жалбоподателят в качеството си на изпълнителен директор на лечебното заведение е подписал Допълнително оспоразумение №582/09.07.2021г. със себе си - нарушение на чл.58 от ЗПКОНПИ; 3) наложени са две глоби по 5 000 лева за всяко от нарушенията ; 4)отнета е в полза на държавата сумата 635,10 лева, представляваща дневното възнаграждение на жалбопоздтеля за дните, в които са извършени нарушенията.</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38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Жалбоподателят Р. П. Г. оспорва административния акт като незаконосъобразен. Твърди, че не е извършил вменените му нарушения и не е действал в конфликт на интереси и в свой частен интерес. Оспорва констатацията в административния акт, че</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на 05.07.2021 г. гласувал „за“ при вземане на решението на Съвета на директорите (СД), като сочи, че в протокола от заседанието не са отразени начинът на гласуването и резултатите. Счита, че обстоятелството, че протоколът от заседанието на СД е подписан и от него, не обосновава извод, че е гласувал при вземане на решението по т.2. Твърди, че решението на СД по т.2 от протокола е взето, за да се отстрани несъвместимостта при заемане на длъжността по чл.66 от Закона за лечебните заведения (ЗЛЗ). Възразява и по отношение на второто нарушение, като сочи, че допълнителното споразумение към трудовия договор е въз основа на специалната разпоредба на чл.73 от ЗЛЗ - следователно то е право, което е уредено и гарантирано от закона, поради което не уврежда публичния интерес и не може да се тълкува като действие в частен интерес. Твърди, че не само не е настъпила материална облага за него, но и основното му трудово възнаграждение е намалено, тъй като е понижен в длъжност от началник на клиниката по хирургия в лекар-хирург. Твърди, че административният акт е в противоречие с целта на закона. Искането към съда е решението на КПКОНПИ да бъде отменено в оспорената част. Заявена е претенция за разноскти.</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74" w:lineRule="auto"/>
        <w:ind w:left="20" w:right="20" w:firstLine="10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Ответникът КПКОНПИ чрез процесуалния си представител юрисконсулт Е. Д., изразява становище за неоснователност на жалбата и законосъобразност на оспореното решение, като поддържа аргументите, изложени в него. Моли жалбата да бъде отхвърлена. Прави възражение за прекомерност на претендираните от жалбоподателя разноски. Претендира заплащане на юрисконсултско възнаграждение.</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7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СЪДЪТ, след преценка на събраните по делото доказателства, прие за установено следното:</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0" w:firstLine="7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Жалбата е процесуално допустима.</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74" w:lineRule="auto"/>
        <w:ind w:left="20" w:right="0" w:firstLine="8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Разгледана по същество, жалбата е основателна.</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0" w:firstLine="7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Установени факти:</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8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Производството пред КПКОНПИ е образувано по сигнал с рег.№785/21.09.2021г. , подаден от лице, индивидуализирано с трите си имена, подписан. В сигнала са изложени твърдения, че Р. Г. каточлен на СД на МБАЛ „Лозенец“ ЕАД е гласувал за собственосот си освобождаване от длъжността началник на клиника и началник на отделение, след което е сключил допълнително споразумение към трудовия договор сам със себе си за заемане ан длъжността лекар-хирург в клиниката, като сам е определил всички елементи на трудовото правоотношение.</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8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С Решение №КИ-157 от 29.09.2021г. КПКОНПИ е образувала производство за установяване на конфликт на интереси срещу Р. Горнв в качеството му на изпълнителен директор на МБАЛ „Лозенец“ ЕАД.</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8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Жалбоподателят е уведомен за образуваното производство и е поканен за изслушване на 03.11.2021 г.. Жалбоподателят не се е явил на определената дата за изслушване. Представил е две писмени възражения.</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7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При проверка по сигнала КПКОНПИ е установила обстоятелствата, посочени в сигнала чрез събраните писмени доказателства, представени като административна преписка.</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8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МБАЛ „Лозенец“ ЕАД, ЕИК[ЕИК], е лечебно заведение по ЗЛЗ и е еднолично акционерно дружество със 100% участие на държавата в капитала, като правата на едноличиня собственик се упражняват от министъра на здравеопазването. МБАЛ „Л.“ има статут и на университетска болница по смисъла на чл.90 от Закона за лечебните заведения (ЗЛЗ).</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7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С Протокол №РД-16-392 от 10.06.2021г. министърът на здравеопазването в качеството си на едноличен собственик на капитала на МБАЛ „Лозенец“ ЕАД е назначил Съвет на директорите на лечебното заведение в състав: Р. П. Г., И. Х. С. и О. В. Н. за срок до провеждане на конкурс, но не по-късно от 6 месеца. В същия ден е сключен и Договор за управление на лечебното заведение между министъра на здравеопазването и членовете на съвет.</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8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С Протокол от 10.06.2021г. (вх.№Х-49/22.06.2021г.) Съветът на директорите е избрал доц.д-р Р. Г. за изпълнителен директор на МБАЛ „Л“.</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7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Към този момент д-р Р. Г. е заемал две длъжности в лечебното заведение: „началник на Клиника по хирургия“ по силата на трудов договор №466/2008г. и „началник на отделение по жлъчно-чернодробна и панкреатична хирургия“ към Хирургична клиника съгласно Допълнително споразумение №613/02.03.2020г.</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8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Едновременно с това Р. Г. е извършвал и преподавателска дейност, като от 09.02.2016г. Р. Г. е започнал да работи и като преподавател в медицинския факултет на СУ „Св.К. О.“ - видно от Допълнително споразумение №184/09.02.2016г. А от 04.05.2000г. Р. Г. е заемал и длъжността „доцент, лекар-преподавател, Ръководител катедра по хирургически болести, акушерство и гинекология.“ с място на работа Университетска болница „Л.“ - Медицински факултет на СУ „Кв.К. О.“ - видно от Допълнително споразумение№ 718/04.05.2020г. , сключено между МБАЛ “Лозенец“ ЕАД и Медицинския факултет на С. университет „Св.К. О.“. Основното месечно трудово възнаграждение по това споразумение е 2 200 лева, а допълнителното възнаграждение за ръководител на катедра - 90 лева.</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9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С решение по т.2 от Протокол №Х-53 от 05.07.2021г. от заседание на СД д-р Г. е освободен от длъжността началник на Хирургична клиника като за времето, през което заема длъжността изпълнителен директор, може да бъде лекар-хирург.</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8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След освобождаването на Р. Г. от ръководната длъжност е сключено ново Допълнително споразумение №582 от 09.07.2021г. между страните: 1) МБАЛ „Лозенец“ ЕАД, представлявано от изпълнителния директор Р. Г., работодател; 2( СУ „Св.К. О“, представляван от ректора проф.А. Г., съгласувал; и 3) доц.д-р Р. Г., служител/работник, по силата на което доц.Р. Г. заема длъжността „доцент, лекар-преподавател, ръководител Катедра по хирургически болести, акушерство и гинекология“. Основното месечно трудово възнаграждение по това споразумение е 1 700лева, а допълнителното възнаграждение за ръководител на катедра - 90 лева.</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8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КПКОНПИ е приела, че Р. Г., в качеството си на член на СД, е действал в свой частен интерес, гласувайки на 05.07.2021 г. за освобождаването си от ръководната длъжност „началник на Хирургична клиника“ като остава на работа в клиниката като „лекар-хирург“. Приела е, че по този начин Р. Г. е гарантирал запазването си на длъжността лекар-преподавател в СУ, тъй като нормативното изискване за заемане на тази длъжност е преподавателите в медицинския факултет да работят като лекари в лечебно заведение. Приела е също така, че с подписването на допълнителното споразумение от 09.07.2021 г. едновременно в качеството си на работодател и на работник/служител, Р. Г. е действал при конфликт на интереси в свой частен интерес, осигурявайки си облага, изразяваща се в увеличаване на възнаграждението му. Този извод е направен въз основа на изискана справка от лечебното заведение, от която е установено, че през месец юни Р. Г. е получил нетно възнаграждение в размер на 12 748,14 лева, а през следващите месеци то се е увеличило както следва: за юли 13685,12 лева; за август 13 917,24 лева и за септември 13 999,14 лева.</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7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В съдебното производство бе прието заключение на съдебно-икономическа експертиза, което не е оспорено от страните и се цени от съда като обективно, добросъвестно и компетентно. Вещото лице изследва получените възнаграждения от Р. Г. през месеците юни, юли, август и септември.</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74" w:lineRule="auto"/>
        <w:ind w:left="20" w:right="2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Трудовото възнаграждение е формирано от възнагражденията по договора за управление и контрол (в качеството му на член на СД и изпълнителен директор на МБАЛ „Л.“) и възнаграждение по трудов договор (в качеството му на лекар-хирург). Елементите на брутната работна заплата са нетно възнаграждение, данъчни и осигуритени задължения и удръжки за членство в Съюза на българските лекари. Нетното трудово възнаграждение се образува от основното месечно трудово възнаграждение и допълнителните възнаграждения за придобит трудов стаж и професионален опит, за лекарска специалност, за образователна и научна степен и за ръководител на катедра. След освобждаването на Р. Г. от ръководната длъжност основното му възнаграждение е намалено от 2 200 лева на 1700 лева, а допълнителните възнаграждения, включително и за ръководител на катедрата, остават непроменено. Разликата в брутното възнаграждение идва от приходите от клинични пътеки и избора на медицински екип, които не са елементи на трудовото възнаграждение и могат да бъдат различни за различните месеци в зависимост от натовареността и дейността на лечебното заведение.</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0" w:firstLine="7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Правни изводи:</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7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В изпълнение на правомощието си по чл.168 от АПК съдът извършва цялостен контрол за законосъобразност на оспорения акт на всички основания по чл.146,от АПК, като не е ограничен от изложените аргументи в жалбата.</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Жалбоподателят е лице, заемащо публична длъжност по чл.6, ал.1, т.46 от ЗПКОНПИ, което попада под санкцията на закона.</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1.Оспореното решение е издадено от компетентен орган в рамките на предоставените му правомощия съобразно чл.74, ал.1 от ЗПКОНПИ.</w:t>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Решението е в законоустановената писмена форма и отговаря на общите изискванията за форма и съдържание по чл.59 от АПК и на специалните изисквания по чл.74, ал.2 от ЗПКОНПИ, тъй като съдържа фактическите и правните основания за издаване на акта, а цялата административна преписка допълва мотивите му. .</w:t>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В производството пред нея КПОНПИ са допуснати съществени процесуални нарушения. Съдът застъпва разбирането, че съществени са тези нарушения, които ограничават правото на участие на страната в администраитвното производство, както и тези нарушения, които имат пряко влияние върху крайния резултат. Жалбоподателят е бил уведомен за производството, дадена му е възможност бъде изслушан, да представи писмени становища и доказателства. Правото на участие в производството и на защита на жалбоподателя не е ограничено. Административният орган обаче не събрал доказателства, за да изясни пълно и точно относимите обстоятелства. Протоколът от проведеното заседание на СД на 05.07.2021 г. не съдържа информация относно начина и резултатите от проведеното гласуване, но органът не е изискал обяснения от останалите членове на СД за гласуването конкретно по т.2, а е формирал извода си, че Р. Г. е гласувал положително единствено въз основа на обстоятелството, че протоколът е подписан от и от него, както и от останалите членове.</w:t>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318"/>
        </w:tabs>
        <w:spacing w:after="0" w:before="0" w:line="274" w:lineRule="auto"/>
        <w:ind w:left="20" w:right="2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Решението е в противоречие с материално правните разпоредиб на закона. Фактическият състав на конфликта на интереси е определен в чл.52 от ЗПКОНПИ и включва кумулативното наличие на 3 елемента: 1)лице, което заема висша публична длъжност; 2) частен интерес на това лице; 3)възможност частният интерес да повлияе върху безпристрастното и обективното изпълнение на правомощията или задълженията му по служба.</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Първият елемент от фактическият състав е установен - жалбоподателят е лице, заемащо публична длъжност по чл.6, ал.1, т.46 от ЗПКОНПИ, и следователно попада под санкцията на закона.</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Правният спор е относно наличието на втория елемент - налице ли е частен интерес, във връзка с който следва да се обсъжда и третият елемент.</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Дефиницията за частен интерес се съдържа в чл.53 от ЗПКОНПИ: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74" w:lineRule="auto"/>
        <w:ind w:left="20" w:right="2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Съгасно чл.54 от ЗПКОНПИ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По отношение на гласуването на решението по т.2 от Протокола от заседанието на СД</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на 05.07.2021г.</w:t>
      </w: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Законът за лечебните заведения (ЗЛЗ) съдържа разпоредби относно конфликта на интереси при управлението на болниците, които са специалин по отножшение на ЗПКОНПИ.</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8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Към момента на избирането на Р. Г. за изпълнителен директор на МБАЛ „Л.“, той е началник на клиниката по хирургия и на отделението по жлъчно-чернодробна и панкреатична хирургия. Съгласно чл.60, във връзка с чл.58 и чл.59 от Закона за лечебните заведения (ЗЛЗ) тези длъжности са несъвместими. Изискването за несъвместимост при заемане на публичните длъжности е в защита на обществения интерес и е насочено именно към предотвратяване на конфликта на интереси, отчетността и прозрачността при при упражняване на публичните функции и разходването на абюджетните средства. Ето защо е било наложително Р. Г., заемайки длъжността изпълнителен директор, да бъде освободен от ръководните длъжностни на стуктурните звена в болницата, които е заемал. Ако това не беше направено, той щеше да изпадне в конфликт на интереси на това основание - следователно освобождаването му от длъжност е в обществен, а не в частен интерес, противно на изводите на КПКОНПИ. Освен това, нито в административното производство, нито в съдебното производство са представени доказателства, че Р. Г. е участвал в гласуването на това решение - доказателствената тежест за установяване на това обстоятелство е на административния орган, който не се справи с нея.</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Не може да се приеме, че частният интерес се съдържа в решението Р. Г. да работи като лекар-хирург в отделението за времето, през което е изпълнителен директор. Д-р Г. работи в лечебното заведение от 2008г. Съгласно чл.65 от ЗЛЗ директорът на лечебното заведение е работодател на всички работещи с него, но по аргумент от чл. 66 от ЗЛЗ няма пречка директорът да работи като лекар в същото лечебно заведение. В тази хипотеза законодателят е преценил, че не възниква конфликт на интереси и е дал приоритет на обществения интерес пред частния, тъй като няма нито житейска, нито правна логика да бъде прекратено изцяло трудовото правоотношение с лекаря и болницата да загуби един изграден специалист, защото той временно изпълнява длъжността изпълнителен директор до провеждане на конкурс, нито да се ограничава правото на лекаря да полага труд по специалността си.</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74" w:lineRule="auto"/>
        <w:ind w:left="20" w:right="20" w:firstLine="18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Горното обосновава извод, че липсва нарушение на забраната на чл.56 от ЗПКОНПИ, противно на изводите, до които е достигнала КПКОНПИ.</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По отношение сключването на Допълнително споразумение №582 от 09.07.2021 г.</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Съгласно чл. 73 от ЗЛЗ работещите в лечебните заведения, придобили качеството на университетска болница, могат да сключат допълнителен трудов договор за осъществяване на преподавателска дейност във висшето училище за определен срок. В тези случаи се прилага чл. 48, ал. 3 от Закона за висшето образование. Извършването на преподавателска дейност в университетска болница е правна възможност, която е упражнена от жалбоподателя много преди сключването на процесното допълнително споразумение, въз основа на договор с висшето учебно заведение, който не е предмет на настоящото производство. А от 04.05.2020г. той е заемал и длъжността ръководител катедра по хирургически болести, акушерство и гинекология.</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Сключването на допълнителното споразумение към трудовия договор с лечебното заведение се налага, за да се отрази изменението на основната работна заплата, при това в посока намаляване, след освобождаването от ръководните длъжности, а не за да се упражни правото на преподавателска дейност. Това споразумение обаче трябва да бъде съгласувано и с ректора на висшето учебно заведение съгласно императивната разпоредба на чл.69, ал.1, т.3 от ЗЛЗ. Както се установява от представеното допълнително споразумение №718/04.05.2020г. и от експертизата допълнителното възнаграждение за заемането на длъжността ръководител на катедра е непроменено.</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Увеличението на възнаграждението за месеците юли, август и септември се дължи на приходите от клиничните пътеки, което няма връзка с подписаното допълнително споразумение.</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236" w:before="0" w:line="274" w:lineRule="auto"/>
        <w:ind w:left="20" w:right="2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Следователно със сключването на това допълнително споразумение не възниква облага по смисъла на чл.54 от ЗПКОНПИ - нито в пари, нито в предимство или привилегия, поради което не може да се приеме, че жалбоподателят е нарушил забраната на чл.58 от ЗПКОНПИ.</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304" w:before="0" w:line="278.00000000000006" w:lineRule="auto"/>
        <w:ind w:left="20" w:right="2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Не се установява фактическият състав на конфликта на интереси по чл.52 от ЗПКОНПИ. Поради това незаконосъобразни се явяват и наложените глоби за всяко от нарушенията в размер на по 5000 лева и отнетата в полза да държавата сума от 635,10 лева като лишени от правно основание.</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5. Решението е в несъответствие с целта на закона.</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Целите на ЗПКОНПИ са дефинирани в чл.2: ефективно противодействие на корупцията;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предотвратяване на възможностите за незаконно придобиване на имущество и разпореждането с него.</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За постигане целите на закона административният орган следва да държи сметка за принципа за съразмерност, като упражнява правомощията си по разумен начин, добросъвестно и справедливо и се въздържа от действия, които могат да засягат права и законни интереси в по-голяма степен от най-необходимото за целта, за която актът се издава - чл.6, ал.1 и ал.2 от АПК.</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236" w:before="0" w:line="274" w:lineRule="auto"/>
        <w:ind w:left="20" w:right="2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От събраните доказателства не се установява жалбоподателят да е злоупотребил със служебното си положение в своя изгода, да е придобил права или облаги, които в противен случай не би имал, или да е увредил по друг начин обществения интерес. Оспореният акт засяга непропорционално правната сфера на жалбоподателя и по никакъв начин не допринася за постигане целта на ЗПКОНПИ.</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0" w:right="2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По изложените съображения решението се отменя като незаконосъобразно в оспорената му част на основание чл.146, т.3, т.4 и т.5 от АПК.</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20" w:right="0" w:firstLine="0"/>
        <w:jc w:val="both"/>
        <w:rPr>
          <w:rFonts w:ascii="Arial" w:cs="Arial" w:eastAsia="Arial" w:hAnsi="Arial"/>
          <w:b w:val="1"/>
          <w:bCs w:val="1"/>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
          <w:szCs w:val="23"/>
          <w:u w:val="none"/>
          <w:shd w:fill="auto" w:val="clear"/>
          <w:vertAlign w:val="baseline"/>
          <w:rtl w:val="0"/>
        </w:rPr>
        <w:t xml:space="preserve">Разноски:</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0"/>
        <w:jc w:val="left"/>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При този изход на спора разноските се поставят в тежест на ответника. Предвид фактическата и правната сложност на делото, броя на проведените съдебни заседания и обема на дотказателствения материал, заплатеното адвокатско възнаграждение в размер на 2000 лева е разумно и обосновано, поради което възражението за прекомерност се отхвърля.</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74" w:lineRule="auto"/>
        <w:ind w:left="20" w:right="20" w:firstLine="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На основание чл.143, ал.1 от АПК ответникът следва да заплати на жалбоподателя разноски в размер на 2 310 лева, за държавна такса, адвокатско възнаграждение и експертиза.</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275" w:before="0" w:line="274" w:lineRule="auto"/>
        <w:ind w:left="20" w:right="20" w:firstLine="840"/>
        <w:jc w:val="left"/>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Така мотивиран и на основание чл.172, ал.2 от АПК Административен съд София-град</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213" w:before="0" w:line="230" w:lineRule="auto"/>
        <w:ind w:left="6580" w:right="0" w:firstLine="0"/>
        <w:jc w:val="left"/>
        <w:rPr>
          <w:rFonts w:ascii="Arial" w:cs="Arial" w:eastAsia="Arial" w:hAnsi="Arial"/>
          <w:b w:val="1"/>
          <w:bCs w:val="1"/>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
          <w:szCs w:val="23"/>
          <w:u w:val="none"/>
          <w:shd w:fill="auto" w:val="clear"/>
          <w:vertAlign w:val="baseline"/>
          <w:rtl w:val="0"/>
        </w:rPr>
        <w:t xml:space="preserve">Р Е Ш И:</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92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
          <w:szCs w:val="23"/>
          <w:u w:val="none"/>
          <w:shd w:fill="auto" w:val="clear"/>
          <w:vertAlign w:val="baseline"/>
          <w:rtl w:val="0"/>
        </w:rPr>
        <w:t xml:space="preserve">ОТМЕНЯ </w:t>
      </w: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Решение №РС-785-21-089 от 17.11.2021 г. на Комисията за противодействие на корупцията и за отнемане на незаконно придобитото имущество в частта му, с която: 1)по отношение на доц.д-р Р. П. Г. е установен конфликт на интереси в качеството му на изпълнителен директор на Многопрофилна болница за активно лечение „Лозенец" ЕАД за това, че е гласувал „за" приемане на Решение на съвета на директорите на лечебното заведение по т.2 от Протокол №Х-53/05.07.2021г. в свой частен интерес - нарушение на чл.56 от ЗПКОНПИ; 2) установен е конфликт на интереси за това, че доц.д-р Р. П. Г. в качеството си на изпълнителен директор на МБАЛ „Лозенец" ЕАД е подписал Допълнително оспоразумение №582/09.07.2021 г.- нарушение на чл.58 от ЗПКОНПИ; 3) наложени са две глоби по 5 000 лева за всяко от нарушенията ; 4)отнета е в полза на държавата сумата 635,10 лева, представляваща дневното възнаграждение на доц.д-р Р. П. Г. за дните, в които са извършени нарушенията.</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20" w:right="20" w:firstLine="106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
          <w:szCs w:val="23"/>
          <w:u w:val="none"/>
          <w:shd w:fill="auto" w:val="clear"/>
          <w:vertAlign w:val="baseline"/>
          <w:rtl w:val="0"/>
        </w:rPr>
        <w:t xml:space="preserve">ОСЪЖДА </w:t>
      </w: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Комисията за противодействие на корупцията и за отнемане на незаконно придобитото имущество да заплати на Р. П. Г. разноски по делото в размер на 2 310 (две хиляди триста и десет) лева.</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515" w:before="0" w:line="274" w:lineRule="auto"/>
        <w:ind w:left="20" w:right="20" w:firstLine="840"/>
        <w:jc w:val="both"/>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
          <w:szCs w:val="23"/>
          <w:u w:val="none"/>
          <w:shd w:fill="auto" w:val="clear"/>
          <w:vertAlign w:val="baseline"/>
          <w:rtl w:val="0"/>
        </w:rPr>
        <w:t xml:space="preserve">Решението може да се обжалва пред Върховния административен съд с касационна жалба, подадена чрез Административен съд София-град в 14-дневен срок от съобщаването му.</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20" w:right="0" w:firstLine="0"/>
        <w:jc w:val="both"/>
        <w:rPr>
          <w:rFonts w:ascii="Arial" w:cs="Arial" w:eastAsia="Arial" w:hAnsi="Arial"/>
          <w:b w:val="1"/>
          <w:bCs w:val="1"/>
          <w:i w:val="0"/>
          <w:iCs w:val="0"/>
          <w:smallCaps w:val="0"/>
          <w:strike w:val="0"/>
          <w:color w:val="000000"/>
          <w:sz w:val="23"/>
          <w:szCs w:val="23"/>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
          <w:szCs w:val="23"/>
          <w:u w:val="none"/>
          <w:shd w:fill="auto" w:val="clear"/>
          <w:vertAlign w:val="baseline"/>
          <w:rtl w:val="0"/>
        </w:rPr>
        <w:t xml:space="preserve">СЪДИЯ:</w:t>
      </w:r>
    </w:p>
    <w:sectPr>
      <w:pgSz w:h="16838" w:w="11909" w:orient="portrait"/>
      <w:pgMar w:bottom="1948" w:top="1948" w:left="1315" w:right="1291" w:header="0" w:footer="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decimal"/>
      <w:lvlText w:val="%1."/>
      <w:lvlJc w:val="left"/>
      <w:pPr>
        <w:ind w:left="0" w:firstLine="0"/>
      </w:pPr>
      <w:rPr>
        <w:rFonts w:ascii="Times New Roman" w:cs="Times New Roman" w:eastAsia="Times New Roman" w:hAnsi="Times New Roman"/>
        <w:b w:val="0"/>
        <w:bCs w:val="0"/>
        <w:i w:val="0"/>
        <w:iCs w:val="0"/>
        <w:smallCaps w:val="0"/>
        <w:strike w:val="0"/>
        <w:color w:val="000000"/>
        <w:sz w:val="22"/>
        <w:szCs w:val="22"/>
        <w:u w:val="none"/>
        <w:vertAlign w:val="baseline"/>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urier New" w:cs="Courier New" w:eastAsia="Courier New" w:hAnsi="Courier New"/>
        <w:sz w:val="24"/>
        <w:szCs w:val="24"/>
        <w:lang w:val="bg"/>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