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ind w:firstLine="0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ind w:firstLine="0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Р Е Ш Е Н И Е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ind w:firstLine="0"/>
        <w:jc w:val="center"/>
        <w:rPr>
          <w:b w:val="0"/>
          <w:bCs w:val="0"/>
          <w:color w:val="00000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№  </w:t>
      </w:r>
      <w:r w:rsidDel="00000000" w:rsidR="00000000" w:rsidRPr="00000000">
        <w:rPr>
          <w:b w:val="1"/>
          <w:bCs w:val="1"/>
          <w:color w:val="000000"/>
          <w:vertAlign w:val="baseline"/>
          <w:rtl w:val="0"/>
        </w:rPr>
        <w:t xml:space="preserve">РС-278-24-064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0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u w:val="single"/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Днес, 01.07.2024 година, в град София,</w:t>
      </w:r>
      <w:r w:rsidDel="00000000" w:rsidR="00000000" w:rsidRPr="00000000">
        <w:rPr>
          <w:b w:val="1"/>
          <w:bCs w:val="1"/>
          <w:vertAlign w:val="baseline"/>
          <w:rtl w:val="0"/>
        </w:rPr>
        <w:t xml:space="preserve"> </w:t>
      </w:r>
      <w:r w:rsidDel="00000000" w:rsidR="00000000" w:rsidRPr="00000000">
        <w:rPr>
          <w:vertAlign w:val="baseline"/>
          <w:rtl w:val="0"/>
        </w:rPr>
        <w:t xml:space="preserve">Комисията за противодействие на корупцията (КПК, Комисията), в състав: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firstLine="709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Заместник-председател: Антон Славчев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firstLine="709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 Антоанета Георгиева – Цонкова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firstLine="709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 Пламен Йоцов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firstLine="709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 Силвия Къдрева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firstLine="0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firstLine="0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У С Т А Н О В 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firstLine="0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tabs>
          <w:tab w:val="left" w:leader="none" w:pos="426"/>
        </w:tabs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Производството е по реда на чл. 89, ал. 1, пр. 1 от Закона за противодействие на корупцията (ЗПК) и е образувано въз основа на Решение за образуване на производство за конфликт на интереси № КИ-147 от 15.04.2024 г. по сигнал с вх. № С-278/05.04.2024 година. </w:t>
      </w:r>
    </w:p>
    <w:p w:rsidR="00000000" w:rsidDel="00000000" w:rsidP="00000000" w:rsidRDefault="00000000" w:rsidRPr="00000000" w14:paraId="00000011">
      <w:pPr>
        <w:tabs>
          <w:tab w:val="left" w:leader="none" w:pos="426"/>
        </w:tabs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 xml:space="preserve">Производството е срещу Вили ****** Лилков – общински съветник в С. общински съвет (СОС). </w:t>
      </w:r>
    </w:p>
    <w:p w:rsidR="00000000" w:rsidDel="00000000" w:rsidP="00000000" w:rsidRDefault="00000000" w:rsidRPr="00000000" w14:paraId="00000012">
      <w:pPr>
        <w:tabs>
          <w:tab w:val="left" w:leader="none" w:pos="426"/>
        </w:tabs>
        <w:ind w:right="1"/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 xml:space="preserve">В сигнала се съдържат твърдения за това, че Вили Лилков, съвместно с други общински съветници, е съвносител на доклад с вх. № СОА24-ВК66-2491/21.03.2024 г. относно изменение и допълнение на Решение № 338/12.06.2014 г. и Решение № 267/18.05.2017 г. на СОС. Лилков е участвал в гласуването на Решение № 71, по т. 23 от Протокол № 7/28.03.2024 г., в което по т. І.4 се определя размера на собственото му основно месечно възнаграждение по реда на чл. 34, ал. 1, изр. 2 от Закона за местното самоуправление и местна администрация (ЗМСМА), т.е. при наличие на частен интерес за него, което съставлява нарушение на чл. 76, изр. 1 и чл. 74 от ЗПК.  Сигналът съдържа позоваване на линк с видеозапис от проведеното на 28.03.2024 г. заседание на СОС, както и на публикувана на сайта на СОС информация за внесения доклад и проведеното гласуване на Решение № 71 от Протокол № 7/28.03.2024 година.</w:t>
      </w:r>
    </w:p>
    <w:p w:rsidR="00000000" w:rsidDel="00000000" w:rsidP="00000000" w:rsidRDefault="00000000" w:rsidRPr="00000000" w14:paraId="00000013">
      <w:pPr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Във връзка с твърденията в сигнала Комисията е изискала и получила с  писмо с вх. № КПК-7105-1/09.05.2024 г. на КПК от председателя на ПК по ЗПК при СОС следните доказателства: Декларация по чл. 49, ал.1 т. 1 от ЗПК на </w:t>
      </w:r>
      <w:r w:rsidDel="00000000" w:rsidR="00000000" w:rsidRPr="00000000">
        <w:rPr>
          <w:color w:val="000000"/>
          <w:vertAlign w:val="baseline"/>
          <w:rtl w:val="0"/>
        </w:rPr>
        <w:t xml:space="preserve">Вили Лилков</w:t>
      </w:r>
      <w:r w:rsidDel="00000000" w:rsidR="00000000" w:rsidRPr="00000000">
        <w:rPr>
          <w:vertAlign w:val="baseline"/>
          <w:rtl w:val="0"/>
        </w:rPr>
        <w:t xml:space="preserve">; клетвен лист, подписан от </w:t>
      </w:r>
      <w:r w:rsidDel="00000000" w:rsidR="00000000" w:rsidRPr="00000000">
        <w:rPr>
          <w:color w:val="000000"/>
          <w:vertAlign w:val="baseline"/>
          <w:rtl w:val="0"/>
        </w:rPr>
        <w:t xml:space="preserve">Вили Лилков</w:t>
      </w:r>
      <w:r w:rsidDel="00000000" w:rsidR="00000000" w:rsidRPr="00000000">
        <w:rPr>
          <w:vertAlign w:val="baseline"/>
          <w:rtl w:val="0"/>
        </w:rPr>
        <w:t xml:space="preserve"> на 13.11.2023 г.; Решение № 71 по Протокол № 7 от 28.03.2024 г.; Протокол № 7 от 28.03.2024 г.; списък с поименно гласуване по т. 23 от Протокол № 7 от 28.03.2024 г.; Доклад с вх. № СОА24-ВК66-2491/21.03.2024 г., ведно с проект за решение и доклад от ПК по финанси и бюджет при СОС; писмо до СОС с вх. № СОА24-ВК66-2491-(1)/26.03.2024 г., ведно с нов проект за решение и писмо до СОС с вх. № СОА24-ВК66-2491-(2)/26.03.2024 година.     </w:t>
      </w:r>
    </w:p>
    <w:p w:rsidR="00000000" w:rsidDel="00000000" w:rsidP="00000000" w:rsidRDefault="00000000" w:rsidRPr="00000000" w14:paraId="00000014">
      <w:pPr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Служебно са извършени справки в НБД Население и на ел. страница на С. община.</w:t>
      </w:r>
    </w:p>
    <w:p w:rsidR="00000000" w:rsidDel="00000000" w:rsidP="00000000" w:rsidRDefault="00000000" w:rsidRPr="00000000" w14:paraId="00000015">
      <w:pPr>
        <w:tabs>
          <w:tab w:val="left" w:leader="none" w:pos="0"/>
        </w:tabs>
        <w:ind w:firstLine="0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ind w:firstLine="709"/>
        <w:rPr>
          <w:i w:val="0"/>
          <w:iCs w:val="0"/>
          <w:color w:val="000000"/>
          <w:vertAlign w:val="baseline"/>
        </w:rPr>
      </w:pPr>
      <w:r w:rsidDel="00000000" w:rsidR="00000000" w:rsidRPr="00000000">
        <w:rPr>
          <w:i w:val="1"/>
          <w:iCs w:val="1"/>
          <w:color w:val="000000"/>
          <w:vertAlign w:val="baseline"/>
          <w:rtl w:val="0"/>
        </w:rPr>
        <w:t xml:space="preserve">След като обсъди събраните в хода на административното производство доказателства, Комисията установи следното от фактическа страна: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ind w:firstLine="709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ind w:firstLine="709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Сигналът е подаден от лице с посочени три имена, адрес и телефонен номер.    </w:t>
      </w:r>
    </w:p>
    <w:p w:rsidR="00000000" w:rsidDel="00000000" w:rsidP="00000000" w:rsidRDefault="00000000" w:rsidRPr="00000000" w14:paraId="00000019">
      <w:pPr>
        <w:ind w:firstLine="709"/>
        <w:rPr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 xml:space="preserve">Вили ****** Лилков </w:t>
      </w:r>
      <w:r w:rsidDel="00000000" w:rsidR="00000000" w:rsidRPr="00000000">
        <w:rPr>
          <w:vertAlign w:val="baseline"/>
          <w:rtl w:val="0"/>
        </w:rPr>
        <w:t xml:space="preserve">е избран за общински съветник в СОС за мандат 2023-2027 г. и е положил клетва на 13.11.2023 г., съгласно приложения клетвен лист от същата дата. От извършена справка на интернет страницата на С. общински съвет е видно, че Лилков е член в Постоянната комисия (ПК) по финанси и бюджет, на ПК по образование, култура, наука и културно многообразие и на ПК за децата, младежта и спорта.</w:t>
      </w:r>
    </w:p>
    <w:p w:rsidR="00000000" w:rsidDel="00000000" w:rsidP="00000000" w:rsidRDefault="00000000" w:rsidRPr="00000000" w14:paraId="0000001A">
      <w:pPr>
        <w:ind w:firstLine="709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Видно от предоставените по производството доказателства шестима общински съветници, между които и Вили Лилков, внасят в СОС</w:t>
      </w:r>
      <w:r w:rsidDel="00000000" w:rsidR="00000000" w:rsidRPr="00000000">
        <w:rPr>
          <w:color w:val="000000"/>
          <w:vertAlign w:val="baseline"/>
          <w:rtl w:val="0"/>
        </w:rPr>
        <w:t xml:space="preserve"> </w:t>
      </w:r>
      <w:r w:rsidDel="00000000" w:rsidR="00000000" w:rsidRPr="00000000">
        <w:rPr>
          <w:vertAlign w:val="baseline"/>
          <w:rtl w:val="0"/>
        </w:rPr>
        <w:t xml:space="preserve">Доклад с вх. № СОА24-ВК66-2491 от 21.03.2024 г., който касае изменение и допълнение на Решение № 338/12.06.2014 г. и на Решение № 267/18.05.2017 г. на СОС относно размера на основните месечни работни заплати на кмета и на заместник - кмета на С. община, председателя на СОС и на общинските съветници, на кмет и заместник кмет на район, на кмет на кметство и кметски наместник. От доклада става ясно, че възнагражденията на кмета на С. община, на заместник- кметовете, на председателя на С. общински съвет и на общинските съветници, не са променяни от  2014 и 2017 г. и актуализацията им е наложителна и необходима. Предложен е проект на решение, с който се определя конкретния размер на основната месечна работна заплата на кмета на С. община, на заместник-кмет на С. община, на председателя на С. общински съвет, на общински съветник, на кмет на район в С. община, на заместник–кмет на район в С. община, на кмет на кметство и на кметски наместник на територията на С. община. На 26.03.2024 г. в СОС е регистрирано писмо с вх. №  СОА24-ВК66-2491(1) на СОС, с което  председателят на СОС – Ц.П. и общинският съветник – П.П., предлагат нов проект на решение по предложения доклад, отнасящо се до въвеждането на разграничение в определянето размера на възнаграждението на кметовете на кметства и кметските наместници на територията на С. община в съответствие с броя на населението. На свое заседание, проведено на 27.03.2024 г., Постоянната комисия /ПК/ по финанси и бюджет, като водеща комисия, е разгледала  Доклад с вх. № СОА24-ВК66-2491 от 21.03.2024 г., придружен с нов проект на решение с вх. №  СОА24-ВК66-2491(1)/26.03.2024 г. на СОС, и е взела решение, с което е подкрепила доклада с приложения нов проект за решение. </w:t>
      </w:r>
    </w:p>
    <w:p w:rsidR="00000000" w:rsidDel="00000000" w:rsidP="00000000" w:rsidRDefault="00000000" w:rsidRPr="00000000" w14:paraId="0000001B">
      <w:pPr>
        <w:ind w:firstLine="709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От предоставения Протокол № 7 от заседание на СОС, проведено на 28.03.2024 г., се  установява, че като точка 23 от приетия дневен ред, СОС е разгледал  Доклад с вх. № СОА24-ВК66-2491/21.03.2024 г., внесен от група от общински съветници, относно изменение и допълнение в Решение № 338/12.06.2014 г. и Решение № 267/18.05.2017 г. на СОС. Общинският съветник Х.К. е направил процедурно предложение за промяна на проекта за решение с допускане на предварително изпълнение на решението. СОС е приел Решене № 71 от 28.03.2024 г., обективирано в Протокол № 7 от същата дата, с което е приел новия проект на решение, съгласно становището на водещата Постоянна комисия по финанси и бюджет, допълнен в зала от общинския съветник Х.К. Решението е прието с 53 гласа „за“, 2 гласа „въздържал се“ и без гласове „против“. Видно от предоставения поименен списък, Вили Лилков е присъствал на заседанието, и е гласувал „за“ приемането на решението. </w:t>
      </w:r>
    </w:p>
    <w:p w:rsidR="00000000" w:rsidDel="00000000" w:rsidP="00000000" w:rsidRDefault="00000000" w:rsidRPr="00000000" w14:paraId="0000001C">
      <w:pPr>
        <w:ind w:firstLine="708"/>
        <w:rPr>
          <w:color w:val="0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ind w:firstLine="709"/>
        <w:rPr>
          <w:i w:val="0"/>
          <w:iCs w:val="0"/>
          <w:vertAlign w:val="baseline"/>
        </w:rPr>
      </w:pPr>
      <w:r w:rsidDel="00000000" w:rsidR="00000000" w:rsidRPr="00000000">
        <w:rPr>
          <w:i w:val="1"/>
          <w:iCs w:val="1"/>
          <w:vertAlign w:val="baseline"/>
          <w:rtl w:val="0"/>
        </w:rPr>
        <w:t xml:space="preserve">Въз основа на така изяснената фактическа обстановка, Комисията установи  следното от правна страна: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ind w:firstLine="709"/>
        <w:rPr>
          <w:b w:val="0"/>
          <w:bCs w:val="0"/>
          <w:i w:val="0"/>
          <w:i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ind w:right="-1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За да е осъществен конфликт на интереси по смисъла на чл. 70 от ЗПК, следва да са кумулативно налични три предпоставки: лице, заемащо публична длъжност, наличие на частен интерес, който може да повлияе върху безпристрастното и обективно изпълнение на правомощията или задълженията му по служба, както и упражнено властническо правомощие, повлияно от този частен интерес.</w:t>
      </w:r>
    </w:p>
    <w:p w:rsidR="00000000" w:rsidDel="00000000" w:rsidP="00000000" w:rsidRDefault="00000000" w:rsidRPr="00000000" w14:paraId="00000020">
      <w:pPr>
        <w:ind w:right="-1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Легалните дефиниции на понятията „частен интерес“ и „облага“ се съдържат в чл. 71 и чл. 72 от ЗПК. Частен интерес е всеки интерес, който води до облага от материален или нематериален характер за лицето, заемащо публична длъжност, или за свързаното с него лице, т.е. за да е налице частен интерес, следва да има реална възможност за реализиране на облага. Съгласно чл. 72 от ЗПК облага е всеки доход в пари, парични средства или имущество, включително придобиване на дялове или акции, както и предоставяне, прехвърляне или отказ от права, получаване на стоки или услуги безплатно или на цени, по – ниски от пазарните, получаване на привилегия или почести, помощ, глас в полза на избор, подкрепа или влияние, предимство, получаване на или обещание за работа, длъжност, дар, награда или обещание за избягване на загуба, отговорност, санкция или друго неблагоприятно събитие.</w:t>
      </w:r>
    </w:p>
    <w:p w:rsidR="00000000" w:rsidDel="00000000" w:rsidP="00000000" w:rsidRDefault="00000000" w:rsidRPr="00000000" w14:paraId="00000021">
      <w:pPr>
        <w:ind w:firstLine="709"/>
        <w:rPr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 xml:space="preserve">Вили ****** Лилков </w:t>
      </w:r>
      <w:r w:rsidDel="00000000" w:rsidR="00000000" w:rsidRPr="00000000">
        <w:rPr>
          <w:vertAlign w:val="baseline"/>
          <w:rtl w:val="0"/>
        </w:rPr>
        <w:t xml:space="preserve">в качеството му на общински съветник в СОС, е лице, заемащо публична длъжност по чл. 6, ал. 1, т. 32 от ЗПК и компетентна да се произнесе относно наличието или липсата на конфликт на интереси по отношение на нея е КПК.  </w:t>
      </w:r>
    </w:p>
    <w:p w:rsidR="00000000" w:rsidDel="00000000" w:rsidP="00000000" w:rsidRDefault="00000000" w:rsidRPr="00000000" w14:paraId="00000022">
      <w:pPr>
        <w:ind w:firstLine="708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Компетентността на общинския съвет, като орган на местно самоуправление, е регламентирана в чл. 21 и следващите от Закона за местното самоуправление и местната администрация (ЗМСМА). Съгласно разпоредбата на чл. 21, ал. 1, т. 5 от ЗМСМА, общинският съвет определя размера на трудовите възнаграждения на кметовете в рамките на действащата нормативна уредба и средствата за работна заплата на персонала от общинския бюджет по предложение на кмета на общината, а съгласно чл. 26, ал. 1 от ЗМСМА определя и размера на възнаграждението на председателя на съвета в зависимост от определената продължителност на работното му време. С решение на общинския съвет, прието с мнозинство повече от половината от общия брой съветници, се определя и размерът на възнаграждението на общинския съветник за участието му в заседанията на общинския съвет и неговите комисии (чл. 34, ал. 1 от ЗМСМА). Правомощията на общинските съветници са дефинирани в чл. 33, ал. 1 от същия закон, според който общинският съветник: има право да бъде избиран в състава на постоянни и временни комисии на съвета; да предлага включването в дневния ред на заседанията на общинския съвет разглеждането на въпроси от компетентността на съвета и да внася проекти за решения; да участва в обсъждането и решаването на всички въпроси от компетентността на съвета; да отправя питания към кмета. </w:t>
      </w:r>
    </w:p>
    <w:p w:rsidR="00000000" w:rsidDel="00000000" w:rsidP="00000000" w:rsidRDefault="00000000" w:rsidRPr="00000000" w14:paraId="00000023">
      <w:pPr>
        <w:ind w:firstLine="708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Като е внесъл за разглеждане в СОС, заедно с още седем общински съветници, Доклад с вх. № СОА24-ВК66-2491/21.03.2024 г.,  и като е гласувал „за“ приемане на Решение № 71 по Протокол № 7 от 28.03.2024 г. на СОС, Вили Лилков, в качеството му на общински съветник, е упражнил правомощията си, произтичащи от закона.</w:t>
      </w:r>
    </w:p>
    <w:p w:rsidR="00000000" w:rsidDel="00000000" w:rsidP="00000000" w:rsidRDefault="00000000" w:rsidRPr="00000000" w14:paraId="00000024">
      <w:pPr>
        <w:ind w:firstLine="708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 оглед разпоредба на чл. 37, ал. 2 от ЗМСМА, обн. В ДВ, бр.70 от 2020 г., в сила от 07.08.2020 г., законодателят е приел, че за общинския съветник не е налице конфликт на интереси при участие в подготовката, обсъждането и приемането на бюджета на общината и на възнаграждението на кметовете, на председателя на общинския съвет и на общинските съветници. По този начин законодателят еднозначно и категорично е изключил наличието на нарушение, съставляващо конфликт на интереси по отношение на общинските съветници във връзка с упражнените от тях правомощия, свързани с участие в подготовката, обсъждането и приемането на бюджета на общината и на възнаграждението на кметовете, на председателя на общинския съвет и на общинските съветници, каквито са упражнените от Вили Лилков правомощия, предмет на настоящото производство.</w:t>
      </w:r>
      <w:r w:rsidDel="00000000" w:rsidR="00000000" w:rsidRPr="00000000">
        <w:rPr>
          <w:rFonts w:ascii="Arial" w:cs="Arial" w:eastAsia="Arial" w:hAnsi="Arial"/>
          <w:color w:val="222222"/>
          <w:highlight w:val="white"/>
          <w:vertAlign w:val="baseline"/>
          <w:rtl w:val="0"/>
        </w:rPr>
        <w:t xml:space="preserve"> </w:t>
      </w:r>
      <w:r w:rsidDel="00000000" w:rsidR="00000000" w:rsidRPr="00000000">
        <w:rPr>
          <w:vertAlign w:val="baseline"/>
          <w:rtl w:val="0"/>
        </w:rPr>
        <w:t xml:space="preserve">Горното е основание КПК да приеме, че по отношение на упражнените от Вили Лилков правомощия, в качеството му на общински съветник в СОС, не е налице нарушение по чл. 70 от ЗПК. </w:t>
      </w:r>
    </w:p>
    <w:p w:rsidR="00000000" w:rsidDel="00000000" w:rsidP="00000000" w:rsidRDefault="00000000" w:rsidRPr="00000000" w14:paraId="00000025">
      <w:pPr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Комисията е направила своите изводи за липсата на конфликт на интереси на база доказателства, събрани по реда на Административнопроцесуалния кодекс, а в случая събраните такива водят до извода за липса на нарушение на разпоредбите на Глава Осма, Раздел II от ЗПК, съответно и до липсата на конфликт на интереси. </w:t>
      </w:r>
    </w:p>
    <w:p w:rsidR="00000000" w:rsidDel="00000000" w:rsidP="00000000" w:rsidRDefault="00000000" w:rsidRPr="00000000" w14:paraId="00000026">
      <w:pPr>
        <w:tabs>
          <w:tab w:val="left" w:leader="none" w:pos="6300"/>
        </w:tabs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Предвид горното, Комисията за противодействие на корупцията, на основание чл. 92, ал. 1 и ал. 2 от ЗПК и § 7, ал.2 от ПЗР на ЗПК, </w:t>
      </w:r>
    </w:p>
    <w:p w:rsidR="00000000" w:rsidDel="00000000" w:rsidP="00000000" w:rsidRDefault="00000000" w:rsidRPr="00000000" w14:paraId="00000027">
      <w:pPr>
        <w:rPr>
          <w:vertAlign w:val="baseline"/>
        </w:rPr>
      </w:pPr>
      <w:r w:rsidDel="00000000" w:rsidR="00000000" w:rsidRPr="00000000">
        <w:rPr>
          <w:color w:val="ff0000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ind w:firstLine="0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Р Е Ш 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ind w:firstLine="0"/>
        <w:jc w:val="center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ind w:firstLine="708"/>
        <w:rPr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НЕ УСТАНОВЯВА</w:t>
      </w:r>
      <w:r w:rsidDel="00000000" w:rsidR="00000000" w:rsidRPr="00000000">
        <w:rPr>
          <w:vertAlign w:val="baseline"/>
          <w:rtl w:val="0"/>
        </w:rPr>
        <w:t xml:space="preserve"> конфликт на интереси по отношение на </w:t>
      </w:r>
      <w:r w:rsidDel="00000000" w:rsidR="00000000" w:rsidRPr="00000000">
        <w:rPr>
          <w:color w:val="000000"/>
          <w:vertAlign w:val="baseline"/>
          <w:rtl w:val="0"/>
        </w:rPr>
        <w:t xml:space="preserve">Вили ****** Лилков</w:t>
      </w:r>
      <w:r w:rsidDel="00000000" w:rsidR="00000000" w:rsidRPr="00000000">
        <w:rPr>
          <w:vertAlign w:val="baseline"/>
          <w:rtl w:val="0"/>
        </w:rPr>
        <w:t xml:space="preserve">, ЕГН ******, общински съветник в С. общински съвет и в това му качество лице, заемащо публична длъжност по смисъла на чл. 6, ал.1, т. 32 от ЗПК, във връзка с участието му като съвносител на Доклад с вх. № СОА24-ВК66-2491/21.03.2024 г. на СОС, и гласуването на Решение № 71 по Протокол № 7 от 28.03.2024 г. на СОС, поради липса на нарушение на разпоредбите на Глава Осма, Раздел II от ЗПК. </w:t>
      </w:r>
    </w:p>
    <w:p w:rsidR="00000000" w:rsidDel="00000000" w:rsidP="00000000" w:rsidRDefault="00000000" w:rsidRPr="00000000" w14:paraId="0000002B">
      <w:pPr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 Препис от решението да се изпрати на С. градска прокуратура, с оглед преценка за реализиране на правомощията й по чл. 94, ал. 2 от ЗПК, съгласно който прокурорът може да подаде протест до съда в едномесечен срок от съобщаването на решението, с което се установява липсата на конфликт на интереси и с оглед правомощията си по надзор за законност на административните актове. </w:t>
      </w:r>
    </w:p>
    <w:p w:rsidR="00000000" w:rsidDel="00000000" w:rsidP="00000000" w:rsidRDefault="00000000" w:rsidRPr="00000000" w14:paraId="0000002C">
      <w:pPr>
        <w:tabs>
          <w:tab w:val="left" w:leader="none" w:pos="709"/>
        </w:tabs>
        <w:ind w:firstLine="0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tabs>
          <w:tab w:val="left" w:leader="none" w:pos="6300"/>
        </w:tabs>
        <w:ind w:firstLine="0"/>
        <w:jc w:val="left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tabs>
          <w:tab w:val="left" w:leader="none" w:pos="6300"/>
        </w:tabs>
        <w:ind w:firstLine="0"/>
        <w:jc w:val="left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tabs>
          <w:tab w:val="left" w:leader="none" w:pos="6300"/>
        </w:tabs>
        <w:ind w:firstLine="851"/>
        <w:jc w:val="left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КОМИСИЯ: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ind w:firstLine="2268"/>
        <w:jc w:val="left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ind w:firstLine="0"/>
        <w:jc w:val="left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ind w:firstLine="0"/>
        <w:jc w:val="left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                             ЗАМЕСТНИК - ПРЕДСЕДАТЕЛ:……………….../АНТОН СЛАВЧЕВ/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ind w:firstLine="2268"/>
        <w:jc w:val="left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ind w:firstLine="0"/>
        <w:jc w:val="left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                             ЧЛЕН:……………………………………….../АНТОАНЕТА ЦОНКОВА/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ind w:firstLine="2268"/>
        <w:jc w:val="left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ind w:left="708" w:firstLine="708"/>
        <w:jc w:val="left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      ЧЛЕН:…………………..……………....……………./ПЛАМЕН ЙОЦОВ/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ind w:left="708" w:firstLine="708"/>
        <w:jc w:val="left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ind w:left="1843" w:firstLine="0"/>
        <w:jc w:val="left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 ……………………………………………../СИЛВИЯ КЪДРЕВА/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ind w:firstLine="0"/>
        <w:jc w:val="left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6" w:type="first"/>
      <w:footerReference r:id="rId7" w:type="default"/>
      <w:pgSz w:h="15840" w:w="12240" w:orient="portrait"/>
      <w:pgMar w:bottom="1134" w:top="1134" w:left="1418" w:right="1134" w:header="454" w:footer="57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703"/>
        <w:tab w:val="right" w:leader="none" w:pos="9406"/>
      </w:tabs>
      <w:spacing w:after="0" w:before="0" w:line="240" w:lineRule="auto"/>
      <w:ind w:left="0" w:right="0" w:firstLine="720"/>
      <w:jc w:val="righ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703"/>
        <w:tab w:val="right" w:leader="none" w:pos="9406"/>
      </w:tabs>
      <w:spacing w:after="0" w:before="0" w:line="240" w:lineRule="auto"/>
      <w:ind w:left="0" w:right="0" w:firstLine="720"/>
      <w:jc w:val="both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A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b w:val="0"/>
        <w:bCs w:val="0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10571.0" w:type="dxa"/>
      <w:jc w:val="left"/>
      <w:tblInd w:w="-851.0" w:type="dxa"/>
      <w:tblLayout w:type="fixed"/>
      <w:tblLook w:val="0000"/>
    </w:tblPr>
    <w:tblGrid>
      <w:gridCol w:w="761"/>
      <w:gridCol w:w="9810"/>
      <w:tblGridChange w:id="0">
        <w:tblGrid>
          <w:gridCol w:w="761"/>
          <w:gridCol w:w="9810"/>
        </w:tblGrid>
      </w:tblGridChange>
    </w:tblGrid>
    <w:tr>
      <w:trPr>
        <w:cantSplit w:val="0"/>
        <w:tblHeader w:val="0"/>
      </w:trPr>
      <w:tc>
        <w:tcPr>
          <w:vAlign w:val="center"/>
        </w:tcPr>
        <w:p w:rsidR="00000000" w:rsidDel="00000000" w:rsidP="00000000" w:rsidRDefault="00000000" w:rsidRPr="00000000" w14:paraId="0000003B">
          <w:pPr>
            <w:tabs>
              <w:tab w:val="center" w:leader="none" w:pos="4153"/>
              <w:tab w:val="right" w:leader="none" w:pos="8306"/>
            </w:tabs>
            <w:spacing w:after="20" w:before="20" w:lineRule="auto"/>
            <w:ind w:left="-250" w:firstLine="108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3C">
          <w:pPr>
            <w:tabs>
              <w:tab w:val="center" w:leader="none" w:pos="4153"/>
              <w:tab w:val="right" w:leader="none" w:pos="8306"/>
            </w:tabs>
            <w:spacing w:after="20" w:before="20" w:lineRule="auto"/>
            <w:ind w:left="-1371" w:firstLine="2091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D">
          <w:pPr>
            <w:tabs>
              <w:tab w:val="center" w:leader="none" w:pos="4153"/>
              <w:tab w:val="right" w:leader="none" w:pos="8306"/>
            </w:tabs>
            <w:spacing w:after="20" w:before="20" w:lineRule="auto"/>
            <w:ind w:left="-1371" w:firstLine="2091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b w:val="1"/>
              <w:bCs w:val="1"/>
              <w:vertAlign w:val="baseline"/>
              <w:rtl w:val="0"/>
            </w:rPr>
            <w:t xml:space="preserve">Р Е П У Б Л И К А   Б Ъ Л Г А Р И Я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E">
          <w:pPr>
            <w:pBdr>
              <w:bottom w:color="000000" w:space="1" w:sz="6" w:val="single"/>
            </w:pBdr>
            <w:tabs>
              <w:tab w:val="center" w:leader="none" w:pos="4153"/>
              <w:tab w:val="right" w:leader="none" w:pos="8306"/>
            </w:tabs>
            <w:spacing w:after="20" w:before="20" w:lineRule="auto"/>
            <w:ind w:left="-1371" w:firstLine="2091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b w:val="1"/>
              <w:bCs w:val="1"/>
              <w:vertAlign w:val="baseline"/>
              <w:rtl w:val="0"/>
            </w:rPr>
            <w:t xml:space="preserve">К О М И С И Я   З А   П Р О Т И В О Д Е Й С Т В И Е  Н А   К О Р У П Ц И Я Т А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F">
          <w:pPr>
            <w:pBdr>
              <w:bottom w:color="000000" w:space="1" w:sz="6" w:val="single"/>
            </w:pBdr>
            <w:tabs>
              <w:tab w:val="center" w:leader="none" w:pos="4153"/>
              <w:tab w:val="right" w:leader="none" w:pos="8306"/>
            </w:tabs>
            <w:spacing w:after="20" w:before="20" w:lineRule="auto"/>
            <w:ind w:left="-1371" w:firstLine="2091"/>
            <w:jc w:val="center"/>
            <w:rPr>
              <w:b w:val="0"/>
              <w:bCs w:val="0"/>
              <w:u w:val="single"/>
              <w:vertAlign w:val="baseline"/>
            </w:rPr>
          </w:pPr>
          <w:r w:rsidDel="00000000" w:rsidR="00000000" w:rsidRPr="00000000">
            <w:rPr>
              <w:b w:val="1"/>
              <w:bCs w:val="1"/>
              <w:i w:val="1"/>
              <w:iCs w:val="1"/>
              <w:sz w:val="20"/>
              <w:szCs w:val="20"/>
              <w:vertAlign w:val="baseline"/>
              <w:rtl w:val="0"/>
            </w:rPr>
            <w:t xml:space="preserve">     София 1000, пл. "Света Неделя" №6,  тел: (+359 2)  9401 444 , факс: (+359 2) 9401 595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4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720"/>
      <w:jc w:val="both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6"/>
        <w:szCs w:val="2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1">
    <w:pPr>
      <w:rPr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bg"/>
      </w:rPr>
    </w:rPrDefault>
    <w:pPrDefault>
      <w:pPr>
        <w:ind w:firstLine="720"/>
        <w:jc w:val="both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