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709"/>
        </w:tabs>
        <w:ind w:right="-284"/>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2">
      <w:pPr>
        <w:tabs>
          <w:tab w:val="left" w:leader="none" w:pos="709"/>
        </w:tabs>
        <w:ind w:right="-284"/>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3">
      <w:pPr>
        <w:tabs>
          <w:tab w:val="left" w:leader="none" w:pos="709"/>
        </w:tabs>
        <w:ind w:right="-284"/>
        <w:jc w:val="center"/>
        <w:rPr>
          <w:b w:val="0"/>
          <w:bCs w:val="0"/>
          <w:sz w:val="24"/>
          <w:szCs w:val="24"/>
          <w:vertAlign w:val="baseline"/>
        </w:rPr>
      </w:pPr>
      <w:r w:rsidDel="00000000" w:rsidR="00000000" w:rsidRPr="00000000">
        <w:rPr>
          <w:b w:val="1"/>
          <w:bCs w:val="1"/>
          <w:sz w:val="24"/>
          <w:szCs w:val="24"/>
          <w:vertAlign w:val="baseline"/>
          <w:rtl w:val="0"/>
        </w:rPr>
        <w:t xml:space="preserve">РЕШЕНИЕ </w:t>
      </w:r>
      <w:r w:rsidDel="00000000" w:rsidR="00000000" w:rsidRPr="00000000">
        <w:rPr>
          <w:rtl w:val="0"/>
        </w:rPr>
      </w:r>
    </w:p>
    <w:p w:rsidR="00000000" w:rsidDel="00000000" w:rsidP="00000000" w:rsidRDefault="00000000" w:rsidRPr="00000000" w14:paraId="00000004">
      <w:pPr>
        <w:tabs>
          <w:tab w:val="left" w:leader="none" w:pos="709"/>
        </w:tabs>
        <w:ind w:right="-284"/>
        <w:jc w:val="center"/>
        <w:rPr>
          <w:b w:val="0"/>
          <w:bCs w:val="0"/>
          <w:sz w:val="24"/>
          <w:szCs w:val="24"/>
          <w:vertAlign w:val="baseline"/>
        </w:rPr>
      </w:pPr>
      <w:r w:rsidDel="00000000" w:rsidR="00000000" w:rsidRPr="00000000">
        <w:rPr>
          <w:b w:val="1"/>
          <w:bCs w:val="1"/>
          <w:sz w:val="24"/>
          <w:szCs w:val="24"/>
          <w:vertAlign w:val="baseline"/>
          <w:rtl w:val="0"/>
        </w:rPr>
        <w:t xml:space="preserve">№ РС-513-24-096</w:t>
      </w:r>
      <w:r w:rsidDel="00000000" w:rsidR="00000000" w:rsidRPr="00000000">
        <w:rPr>
          <w:rtl w:val="0"/>
        </w:rPr>
      </w:r>
    </w:p>
    <w:p w:rsidR="00000000" w:rsidDel="00000000" w:rsidP="00000000" w:rsidRDefault="00000000" w:rsidRPr="00000000" w14:paraId="00000005">
      <w:pPr>
        <w:ind w:left="-284" w:right="-284" w:firstLine="0"/>
        <w:jc w:val="center"/>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06">
      <w:pPr>
        <w:tabs>
          <w:tab w:val="left" w:leader="none" w:pos="426"/>
        </w:tabs>
        <w:ind w:right="49"/>
        <w:jc w:val="both"/>
        <w:rPr>
          <w:sz w:val="24"/>
          <w:szCs w:val="24"/>
          <w:vertAlign w:val="baseline"/>
        </w:rPr>
      </w:pPr>
      <w:r w:rsidDel="00000000" w:rsidR="00000000" w:rsidRPr="00000000">
        <w:rPr>
          <w:sz w:val="24"/>
          <w:szCs w:val="24"/>
          <w:vertAlign w:val="baseline"/>
          <w:rtl w:val="0"/>
        </w:rPr>
        <w:tab/>
        <w:tab/>
        <w:t xml:space="preserve">Днес, на 12.08.2024 г., Комисията за противодействие на /КПК/, в състав:</w:t>
      </w:r>
    </w:p>
    <w:p w:rsidR="00000000" w:rsidDel="00000000" w:rsidP="00000000" w:rsidRDefault="00000000" w:rsidRPr="00000000" w14:paraId="00000007">
      <w:pPr>
        <w:tabs>
          <w:tab w:val="left" w:leader="none" w:pos="567"/>
        </w:tabs>
        <w:jc w:val="both"/>
        <w:rPr>
          <w:b w:val="0"/>
          <w:bCs w:val="0"/>
          <w:sz w:val="24"/>
          <w:szCs w:val="24"/>
          <w:vertAlign w:val="baseline"/>
        </w:rPr>
      </w:pPr>
      <w:r w:rsidDel="00000000" w:rsidR="00000000" w:rsidRPr="00000000">
        <w:rPr>
          <w:b w:val="1"/>
          <w:bCs w:val="1"/>
          <w:sz w:val="24"/>
          <w:szCs w:val="24"/>
          <w:vertAlign w:val="baseline"/>
          <w:rtl w:val="0"/>
        </w:rPr>
        <w:tab/>
        <w:t xml:space="preserve">   </w:t>
      </w:r>
      <w:r w:rsidDel="00000000" w:rsidR="00000000" w:rsidRPr="00000000">
        <w:rPr>
          <w:rtl w:val="0"/>
        </w:rPr>
      </w:r>
    </w:p>
    <w:p w:rsidR="00000000" w:rsidDel="00000000" w:rsidP="00000000" w:rsidRDefault="00000000" w:rsidRPr="00000000" w14:paraId="00000008">
      <w:pPr>
        <w:tabs>
          <w:tab w:val="left" w:leader="none" w:pos="567"/>
        </w:tabs>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9">
      <w:pPr>
        <w:tabs>
          <w:tab w:val="left" w:leader="none" w:pos="567"/>
        </w:tabs>
        <w:jc w:val="both"/>
        <w:rPr>
          <w:b w:val="0"/>
          <w:bCs w:val="0"/>
          <w:sz w:val="24"/>
          <w:szCs w:val="24"/>
          <w:vertAlign w:val="baseline"/>
        </w:rPr>
      </w:pPr>
      <w:r w:rsidDel="00000000" w:rsidR="00000000" w:rsidRPr="00000000">
        <w:rPr>
          <w:b w:val="1"/>
          <w:bCs w:val="1"/>
          <w:sz w:val="24"/>
          <w:szCs w:val="24"/>
          <w:vertAlign w:val="baseline"/>
          <w:rtl w:val="0"/>
        </w:rPr>
        <w:tab/>
        <w:tab/>
        <w:t xml:space="preserve">Заместник-председател: Антон Славчев</w:t>
      </w:r>
      <w:r w:rsidDel="00000000" w:rsidR="00000000" w:rsidRPr="00000000">
        <w:rPr>
          <w:rtl w:val="0"/>
        </w:rPr>
      </w:r>
    </w:p>
    <w:p w:rsidR="00000000" w:rsidDel="00000000" w:rsidP="00000000" w:rsidRDefault="00000000" w:rsidRPr="00000000" w14:paraId="0000000A">
      <w:pPr>
        <w:ind w:firstLine="720"/>
        <w:jc w:val="both"/>
        <w:rPr>
          <w:b w:val="0"/>
          <w:bCs w:val="0"/>
          <w:sz w:val="24"/>
          <w:szCs w:val="24"/>
          <w:vertAlign w:val="baseline"/>
        </w:rPr>
      </w:pPr>
      <w:r w:rsidDel="00000000" w:rsidR="00000000" w:rsidRPr="00000000">
        <w:rPr>
          <w:b w:val="1"/>
          <w:bCs w:val="1"/>
          <w:sz w:val="24"/>
          <w:szCs w:val="24"/>
          <w:vertAlign w:val="baseline"/>
          <w:rtl w:val="0"/>
        </w:rPr>
        <w:t xml:space="preserve">Член: Антоанета Георгиева – Цонкова</w:t>
      </w:r>
      <w:r w:rsidDel="00000000" w:rsidR="00000000" w:rsidRPr="00000000">
        <w:rPr>
          <w:rtl w:val="0"/>
        </w:rPr>
      </w:r>
    </w:p>
    <w:p w:rsidR="00000000" w:rsidDel="00000000" w:rsidP="00000000" w:rsidRDefault="00000000" w:rsidRPr="00000000" w14:paraId="0000000B">
      <w:pPr>
        <w:ind w:firstLine="720"/>
        <w:rPr>
          <w:b w:val="0"/>
          <w:bCs w:val="0"/>
          <w:sz w:val="24"/>
          <w:szCs w:val="24"/>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C">
      <w:pPr>
        <w:ind w:firstLine="720"/>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0D">
      <w:pPr>
        <w:tabs>
          <w:tab w:val="left" w:leader="none" w:pos="709"/>
        </w:tabs>
        <w:ind w:left="-284" w:right="-141" w:firstLine="0"/>
        <w:jc w:val="both"/>
        <w:rPr>
          <w:b w:val="0"/>
          <w:bCs w:val="0"/>
          <w:sz w:val="24"/>
          <w:szCs w:val="24"/>
          <w:vertAlign w:val="baseline"/>
        </w:rPr>
      </w:pPr>
      <w:r w:rsidDel="00000000" w:rsidR="00000000" w:rsidRPr="00000000">
        <w:rPr>
          <w:b w:val="1"/>
          <w:bCs w:val="1"/>
          <w:sz w:val="24"/>
          <w:szCs w:val="24"/>
          <w:vertAlign w:val="baseline"/>
          <w:rtl w:val="0"/>
        </w:rPr>
        <w:tab/>
      </w:r>
      <w:r w:rsidDel="00000000" w:rsidR="00000000" w:rsidRPr="00000000">
        <w:rPr>
          <w:rtl w:val="0"/>
        </w:rPr>
      </w:r>
    </w:p>
    <w:p w:rsidR="00000000" w:rsidDel="00000000" w:rsidP="00000000" w:rsidRDefault="00000000" w:rsidRPr="00000000" w14:paraId="0000000E">
      <w:pPr>
        <w:ind w:left="-284" w:firstLine="284"/>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 :</w:t>
      </w:r>
      <w:r w:rsidDel="00000000" w:rsidR="00000000" w:rsidRPr="00000000">
        <w:rPr>
          <w:rtl w:val="0"/>
        </w:rPr>
      </w:r>
    </w:p>
    <w:p w:rsidR="00000000" w:rsidDel="00000000" w:rsidP="00000000" w:rsidRDefault="00000000" w:rsidRPr="00000000" w14:paraId="0000000F">
      <w:pPr>
        <w:ind w:left="-284" w:firstLine="284"/>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10">
      <w:pPr>
        <w:tabs>
          <w:tab w:val="left" w:leader="none" w:pos="567"/>
        </w:tabs>
        <w:ind w:firstLine="720"/>
        <w:jc w:val="both"/>
        <w:rPr>
          <w:sz w:val="24"/>
          <w:szCs w:val="24"/>
          <w:vertAlign w:val="baseline"/>
        </w:rPr>
      </w:pPr>
      <w:r w:rsidDel="00000000" w:rsidR="00000000" w:rsidRPr="00000000">
        <w:rPr>
          <w:color w:val="000000"/>
          <w:sz w:val="24"/>
          <w:szCs w:val="24"/>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w:t>
      </w:r>
      <w:r w:rsidDel="00000000" w:rsidR="00000000" w:rsidRPr="00000000">
        <w:rPr>
          <w:sz w:val="24"/>
          <w:szCs w:val="24"/>
          <w:vertAlign w:val="baseline"/>
          <w:rtl w:val="0"/>
        </w:rPr>
        <w:t xml:space="preserve"> Решение за образуване на производство за конфликт на интереси № КИ-181 от 05.09.2023 година</w:t>
      </w:r>
      <w:r w:rsidDel="00000000" w:rsidR="00000000" w:rsidRPr="00000000">
        <w:rPr>
          <w:color w:val="000000"/>
          <w:sz w:val="24"/>
          <w:szCs w:val="24"/>
          <w:vertAlign w:val="baseline"/>
          <w:rtl w:val="0"/>
        </w:rPr>
        <w:t xml:space="preserve"> по сигнал с вх.№ </w:t>
      </w:r>
      <w:r w:rsidDel="00000000" w:rsidR="00000000" w:rsidRPr="00000000">
        <w:rPr>
          <w:sz w:val="24"/>
          <w:szCs w:val="24"/>
          <w:vertAlign w:val="baseline"/>
          <w:rtl w:val="0"/>
        </w:rPr>
        <w:t xml:space="preserve">ЦУ01/С-513/29.08.2023 г. на КПКОНПИ, във връзка с §5, ал.1 от ПЗР на Закона за противодействие на корупцията (ЗПК). </w:t>
      </w:r>
    </w:p>
    <w:p w:rsidR="00000000" w:rsidDel="00000000" w:rsidP="00000000" w:rsidRDefault="00000000" w:rsidRPr="00000000" w14:paraId="00000011">
      <w:pPr>
        <w:tabs>
          <w:tab w:val="left" w:leader="none" w:pos="567"/>
        </w:tabs>
        <w:ind w:firstLine="720"/>
        <w:jc w:val="both"/>
        <w:rPr>
          <w:sz w:val="24"/>
          <w:szCs w:val="24"/>
          <w:vertAlign w:val="baseline"/>
        </w:rPr>
      </w:pPr>
      <w:r w:rsidDel="00000000" w:rsidR="00000000" w:rsidRPr="00000000">
        <w:rPr>
          <w:sz w:val="24"/>
          <w:szCs w:val="24"/>
          <w:vertAlign w:val="baseline"/>
          <w:rtl w:val="0"/>
        </w:rPr>
        <w:t xml:space="preserve">Производството е образувано срещу Делян *** Добрев – народен представител в 48-то Народно събрание на Република България.</w:t>
      </w:r>
    </w:p>
    <w:p w:rsidR="00000000" w:rsidDel="00000000" w:rsidP="00000000" w:rsidRDefault="00000000" w:rsidRPr="00000000" w14:paraId="00000012">
      <w:pPr>
        <w:tabs>
          <w:tab w:val="left" w:leader="none" w:pos="426"/>
        </w:tabs>
        <w:ind w:right="-174" w:firstLine="720"/>
        <w:jc w:val="both"/>
        <w:rPr>
          <w:color w:val="000000"/>
          <w:sz w:val="24"/>
          <w:szCs w:val="24"/>
          <w:vertAlign w:val="baseline"/>
        </w:rPr>
      </w:pPr>
      <w:r w:rsidDel="00000000" w:rsidR="00000000" w:rsidRPr="00000000">
        <w:rPr>
          <w:color w:val="000000"/>
          <w:sz w:val="24"/>
          <w:szCs w:val="24"/>
          <w:vertAlign w:val="baseline"/>
          <w:rtl w:val="0"/>
        </w:rPr>
        <w:t xml:space="preserve">В сигнала се твърди, че Делян Добрев, в качеството му на народен представител в 48-то Народно събрание (НС), е един от вносителите на Проект на решение за задължаване на Министерския съвет (МС) да промени Плана за възстановяване и устойчивост в част енергетика, сигнатура 48-354-02-21, дата на постъпване 12.01.2023 г., приет на 12.01.2023 г., обнародван в Държавен вестник бр. 6/2023 година. На 11.01.2023 г. Добрев е участвал в представяне, обсъждане и гласуване на проекта на решението на заседание на Комисията по енергетика към НС. На 12.01.2023 г., на тридесет и третото заседание на 48-то НС, в пленарна зала, Добрев е представил и участвал в обсъждането и гласуването на Проект на решение за задължаване на МС да промени Плана за възстановяване и устойчивост в част енергетика. Приетото решение на НС задължава МС, в срок до 31 март 2023 г., да предприеме всички необходими действия и да отправи обосновано искане до Европейската комисия като направи предложение за изменение на Плана за възстановяване и устойчивост на Република България и да постигне съгласие и предварителна положителна оценка от Европейската комисия относно изменение на Плана в определени раздели – да отпадне поетият ангажимент за намаляване на въглеродните емисии от производство на електроенергия с 40 % до края на 2025 г., като се осигури работа на централите на въглища без ограничение поне до 2038 г.; да отпаднат всички текстове, свързани с поетия ангажимент за намаляване на въглеродните емисии от производство на ел. енергия с 40 % до края на 2025 г., вземайки изходните нива от 2019 г. и във връзка с преговорите, МС да договори максимално добри условия за Република България в сектор „Енергетика“. По време на заседание на Комисията по енергетика към НС, проведено на 11.01.2023 г., Делян Добрев в реплика към министъра на енергетиката заявява, че т. 1 от проекта на решението не подлежи на преформатиране дори да се налага България да връща част от средствата по плана, тъй като е по-важно да се спаси този сектор в държавата.</w:t>
      </w:r>
    </w:p>
    <w:p w:rsidR="00000000" w:rsidDel="00000000" w:rsidP="00000000" w:rsidRDefault="00000000" w:rsidRPr="00000000" w14:paraId="00000013">
      <w:pPr>
        <w:tabs>
          <w:tab w:val="left" w:leader="none" w:pos="426"/>
        </w:tabs>
        <w:ind w:right="-174" w:firstLine="720"/>
        <w:jc w:val="both"/>
        <w:rPr>
          <w:color w:val="000000"/>
          <w:sz w:val="24"/>
          <w:szCs w:val="24"/>
          <w:vertAlign w:val="baseline"/>
        </w:rPr>
      </w:pPr>
      <w:r w:rsidDel="00000000" w:rsidR="00000000" w:rsidRPr="00000000">
        <w:rPr>
          <w:color w:val="000000"/>
          <w:sz w:val="24"/>
          <w:szCs w:val="24"/>
          <w:vertAlign w:val="baseline"/>
          <w:rtl w:val="0"/>
        </w:rPr>
        <w:t xml:space="preserve">В сигнала се посочва, че дружеството „***“ ООД, ЕИК: *** е производител на пелети от иглолистна дървесина, негови собственици и управители са А.Д.Д. и З.С.Д., които са родители на Делян Добрев. Видно от доклад на Изпълнителна агенция по горите, след извършена проверка по спазване на горското законодателство в района на Регионална дирекция по горите – К., е констатирано, че в ТЕЦ „***“ АД е доставян дървесен чипс от „***“ ООД, средно по около 3000 т. месечно, на цена 95 лв. на тон, съгласно представени 8 бр. фактури, като превозни билети за чипса не са представени. Официалните документи показват, че през 2022 г. около 285 000 лв. на месец или около 3 млн. лв. на година са отивали от ТЕЦ „***“ АД към дружеството, собственост на родителите на Делян Добрев. Изразени са съмнения, че доколкото свързаното с Делян Добрев дружество „***“ ООД се намира в икономически отношения, обусловени от договорни отношения за извършване на доставки на дървесен чипс с ТЕЦ „***“ АД, Добрев се намира в конфликт на интереси, внасяйки, гласувайки и обсъждайки актове в изпълнение на служебните си правомощия, свързани със сектор енергетика, целящи осигуряване „работата на централите на въглища без ограничение“.</w:t>
      </w:r>
    </w:p>
    <w:p w:rsidR="00000000" w:rsidDel="00000000" w:rsidP="00000000" w:rsidRDefault="00000000" w:rsidRPr="00000000" w14:paraId="00000014">
      <w:pPr>
        <w:tabs>
          <w:tab w:val="left" w:leader="none" w:pos="567"/>
        </w:tabs>
        <w:ind w:firstLine="720"/>
        <w:jc w:val="both"/>
        <w:rPr>
          <w:color w:val="000000"/>
          <w:sz w:val="24"/>
          <w:szCs w:val="24"/>
          <w:vertAlign w:val="baseline"/>
        </w:rPr>
      </w:pPr>
      <w:r w:rsidDel="00000000" w:rsidR="00000000" w:rsidRPr="00000000">
        <w:rPr>
          <w:color w:val="000000"/>
          <w:sz w:val="24"/>
          <w:szCs w:val="24"/>
          <w:vertAlign w:val="baseline"/>
          <w:rtl w:val="0"/>
        </w:rPr>
        <w:t xml:space="preserve">Във връзка с изложеното са изразени съмнения, че Делян Добрев е използвал служебното си положение за да окаже влияние в частен интерес върху други органи или лица при подготовката и приемането на актове, както и е участвал в подготовката, обсъждането, приемането, издаването или постановяването на актове в частен интерес.</w:t>
      </w:r>
    </w:p>
    <w:p w:rsidR="00000000" w:rsidDel="00000000" w:rsidP="00000000" w:rsidRDefault="00000000" w:rsidRPr="00000000" w14:paraId="00000015">
      <w:pPr>
        <w:ind w:firstLine="720"/>
        <w:jc w:val="both"/>
        <w:rPr>
          <w:color w:val="000000"/>
          <w:sz w:val="24"/>
          <w:szCs w:val="24"/>
          <w:vertAlign w:val="baseline"/>
        </w:rPr>
      </w:pPr>
      <w:r w:rsidDel="00000000" w:rsidR="00000000" w:rsidRPr="00000000">
        <w:rPr>
          <w:color w:val="000000"/>
          <w:sz w:val="24"/>
          <w:szCs w:val="24"/>
          <w:vertAlign w:val="baseline"/>
          <w:rtl w:val="0"/>
        </w:rPr>
        <w:t xml:space="preserve">Във връзка с твърденията в сигнала Комисията е изискала и получила следните доказателства:</w:t>
      </w:r>
    </w:p>
    <w:p w:rsidR="00000000" w:rsidDel="00000000" w:rsidP="00000000" w:rsidRDefault="00000000" w:rsidRPr="00000000" w14:paraId="00000016">
      <w:pPr>
        <w:ind w:firstLine="720"/>
        <w:jc w:val="both"/>
        <w:rPr>
          <w:color w:val="000000"/>
          <w:sz w:val="24"/>
          <w:szCs w:val="24"/>
          <w:vertAlign w:val="baseline"/>
        </w:rPr>
      </w:pPr>
      <w:r w:rsidDel="00000000" w:rsidR="00000000" w:rsidRPr="00000000">
        <w:rPr>
          <w:color w:val="000000"/>
          <w:sz w:val="24"/>
          <w:szCs w:val="24"/>
          <w:vertAlign w:val="baseline"/>
          <w:rtl w:val="0"/>
        </w:rPr>
        <w:t xml:space="preserve">С писмо с вх.№ КПК-ПК-159#6/10.11.2023 г. </w:t>
      </w:r>
      <w:r w:rsidDel="00000000" w:rsidR="00000000" w:rsidRPr="00000000">
        <w:rPr>
          <w:b w:val="1"/>
          <w:bCs w:val="1"/>
          <w:color w:val="000000"/>
          <w:sz w:val="24"/>
          <w:szCs w:val="24"/>
          <w:vertAlign w:val="baseline"/>
          <w:rtl w:val="0"/>
        </w:rPr>
        <w:t xml:space="preserve">от Главния секретар на Народното събрание</w:t>
      </w:r>
      <w:r w:rsidDel="00000000" w:rsidR="00000000" w:rsidRPr="00000000">
        <w:rPr>
          <w:color w:val="000000"/>
          <w:sz w:val="24"/>
          <w:szCs w:val="24"/>
          <w:vertAlign w:val="baseline"/>
          <w:rtl w:val="0"/>
        </w:rPr>
        <w:t xml:space="preserve"> са получени: Решение за избиране на членове на Комисията по енергетика, прието от 48-то Народно събрание на 27.10.2022 г., Решение за задължаване на Министерския съвет да промени Плана за възстановяване и устойчивост в част енергетика, прието то 48-то Народно събрание на 12.01.2023 г., Проект на Решение за задължаване на Министерския съвет да промени Плана за възстановяване и устойчивост в част енергетика, рег. №48-354-02-21 от 12.01.2023 г., внесен в 48-то Народно събрание от Делян Добрев и група народни представители на 12.01.2023 г. и Протокол от заседание на Комисията по енергетика в 48-то Народно събрание, проведено на 12.01.2023 г.</w:t>
      </w:r>
    </w:p>
    <w:p w:rsidR="00000000" w:rsidDel="00000000" w:rsidP="00000000" w:rsidRDefault="00000000" w:rsidRPr="00000000" w14:paraId="00000017">
      <w:pPr>
        <w:ind w:firstLine="720"/>
        <w:jc w:val="both"/>
        <w:rPr>
          <w:sz w:val="24"/>
          <w:szCs w:val="24"/>
          <w:vertAlign w:val="baseline"/>
        </w:rPr>
      </w:pPr>
      <w:r w:rsidDel="00000000" w:rsidR="00000000" w:rsidRPr="00000000">
        <w:rPr>
          <w:b w:val="1"/>
          <w:bCs w:val="1"/>
          <w:color w:val="000000"/>
          <w:sz w:val="24"/>
          <w:szCs w:val="24"/>
          <w:vertAlign w:val="baseline"/>
          <w:rtl w:val="0"/>
        </w:rPr>
        <w:t xml:space="preserve">От изпълнителния директор на Изпълнителна агенция по горите</w:t>
      </w:r>
      <w:r w:rsidDel="00000000" w:rsidR="00000000" w:rsidRPr="00000000">
        <w:rPr>
          <w:color w:val="000000"/>
          <w:sz w:val="24"/>
          <w:szCs w:val="24"/>
          <w:vertAlign w:val="baseline"/>
          <w:rtl w:val="0"/>
        </w:rPr>
        <w:t xml:space="preserve"> (ИАГ) </w:t>
      </w:r>
      <w:r w:rsidDel="00000000" w:rsidR="00000000" w:rsidRPr="00000000">
        <w:rPr>
          <w:sz w:val="24"/>
          <w:szCs w:val="24"/>
          <w:vertAlign w:val="baseline"/>
          <w:rtl w:val="0"/>
        </w:rPr>
        <w:t xml:space="preserve">с писмо с вх.№КПК-ПК-159#7/13.11.2023 г. на КПК са получени: заверени копия на Доклад с рег.№30783/09.12.2022 г. и констативни протоколи серия ИАГ №152682 от 07.12.2022 г. и №152683 от 07.12.2022 г., както и констативен протокол серия КОО №129709 от 24.01.2023 г. за извършена последваща проверка от служители на Регионална дирекция по горите К.</w:t>
      </w:r>
    </w:p>
    <w:p w:rsidR="00000000" w:rsidDel="00000000" w:rsidP="00000000" w:rsidRDefault="00000000" w:rsidRPr="00000000" w14:paraId="00000018">
      <w:pPr>
        <w:ind w:firstLine="720"/>
        <w:jc w:val="both"/>
        <w:rPr>
          <w:sz w:val="24"/>
          <w:szCs w:val="24"/>
          <w:vertAlign w:val="baseline"/>
        </w:rPr>
      </w:pPr>
      <w:r w:rsidDel="00000000" w:rsidR="00000000" w:rsidRPr="00000000">
        <w:rPr>
          <w:sz w:val="24"/>
          <w:szCs w:val="24"/>
          <w:vertAlign w:val="baseline"/>
          <w:rtl w:val="0"/>
        </w:rPr>
        <w:t xml:space="preserve">С писмо с вх.№ КПК-ПК-159№8/17.11.2023 г. </w:t>
      </w:r>
      <w:r w:rsidDel="00000000" w:rsidR="00000000" w:rsidRPr="00000000">
        <w:rPr>
          <w:b w:val="1"/>
          <w:bCs w:val="1"/>
          <w:sz w:val="24"/>
          <w:szCs w:val="24"/>
          <w:vertAlign w:val="baseline"/>
          <w:rtl w:val="0"/>
        </w:rPr>
        <w:t xml:space="preserve">от изпълнителния директор на ТЕЦ „***“ АД</w:t>
      </w:r>
      <w:r w:rsidDel="00000000" w:rsidR="00000000" w:rsidRPr="00000000">
        <w:rPr>
          <w:sz w:val="24"/>
          <w:szCs w:val="24"/>
          <w:vertAlign w:val="baseline"/>
          <w:rtl w:val="0"/>
        </w:rPr>
        <w:t xml:space="preserve"> са получени: 19 броя фактури за извършени доставки за периода от 01.01.2021 – 18.10.2023 г. с издател - доставчика „***“ ООД и получател „***“ ЕООД, както и съответните платежни документи към тях, Справка за количествата и стойностите на доставяните от доставчика „***“ ООД на „***“ ЕООД горива за периода 01.01.2021 – 18.10.2023 г., кантарни бележки, справки за кантарни бележки и товарителници за доставени пелети през 2023 г. С писмото е предоставена и допълнителна информация относно организацията на дейността по транспортиране, обогатяване и доставка на горива.</w:t>
      </w:r>
    </w:p>
    <w:p w:rsidR="00000000" w:rsidDel="00000000" w:rsidP="00000000" w:rsidRDefault="00000000" w:rsidRPr="00000000" w14:paraId="00000019">
      <w:pPr>
        <w:ind w:firstLine="720"/>
        <w:jc w:val="both"/>
        <w:rPr>
          <w:sz w:val="24"/>
          <w:szCs w:val="24"/>
          <w:highlight w:val="yellow"/>
          <w:vertAlign w:val="baseline"/>
        </w:rPr>
      </w:pPr>
      <w:r w:rsidDel="00000000" w:rsidR="00000000" w:rsidRPr="00000000">
        <w:rPr>
          <w:sz w:val="24"/>
          <w:szCs w:val="24"/>
          <w:vertAlign w:val="baseline"/>
          <w:rtl w:val="0"/>
        </w:rPr>
        <w:t xml:space="preserve">Във връзка с твърденията в сигнала Комисията служебно е направила справки в Търговски регистър и регистър на юридическите лица с нестопанска цел (ТРРЮЛНЦ), в регистър НБД „Население“, на електронните страници на Народно събрание (НС), на Министерски съвет (МС) - Национален план за възстановяване и устойчивост (План/а/ПВУ), на Министерство на финансите, на електронната страница на</w:t>
      </w:r>
      <w:r w:rsidDel="00000000" w:rsidR="00000000" w:rsidRPr="00000000">
        <w:rPr>
          <w:color w:val="000000"/>
          <w:sz w:val="24"/>
          <w:szCs w:val="24"/>
          <w:vertAlign w:val="baseline"/>
          <w:rtl w:val="0"/>
        </w:rPr>
        <w:t xml:space="preserve"> ТЕЦ „***“ АД</w:t>
      </w:r>
      <w:r w:rsidDel="00000000" w:rsidR="00000000" w:rsidRPr="00000000">
        <w:rPr>
          <w:sz w:val="24"/>
          <w:szCs w:val="24"/>
          <w:vertAlign w:val="baseline"/>
          <w:rtl w:val="0"/>
        </w:rPr>
        <w:t xml:space="preserve">, както и в Официален вестник на Европейския съюз и в Регистъра на лицата, заемащи висши публични длъжности на КПКОНПИ – за подадените от Делян Добрев  декларации по чл.35, ал.1, т.2 от ЗПКОНПИ (отм.).</w:t>
      </w:r>
      <w:r w:rsidDel="00000000" w:rsidR="00000000" w:rsidRPr="00000000">
        <w:rPr>
          <w:rtl w:val="0"/>
        </w:rPr>
      </w:r>
    </w:p>
    <w:p w:rsidR="00000000" w:rsidDel="00000000" w:rsidP="00000000" w:rsidRDefault="00000000" w:rsidRPr="00000000" w14:paraId="0000001A">
      <w:pPr>
        <w:jc w:val="both"/>
        <w:rPr>
          <w:sz w:val="24"/>
          <w:szCs w:val="24"/>
          <w:vertAlign w:val="baseline"/>
        </w:rPr>
      </w:pPr>
      <w:r w:rsidDel="00000000" w:rsidR="00000000" w:rsidRPr="00000000">
        <w:rPr>
          <w:rtl w:val="0"/>
        </w:rPr>
      </w:r>
    </w:p>
    <w:p w:rsidR="00000000" w:rsidDel="00000000" w:rsidP="00000000" w:rsidRDefault="00000000" w:rsidRPr="00000000" w14:paraId="0000001B">
      <w:pPr>
        <w:ind w:firstLine="567"/>
        <w:jc w:val="both"/>
        <w:rPr>
          <w:b w:val="0"/>
          <w:bCs w:val="0"/>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1C">
      <w:pPr>
        <w:ind w:firstLine="567"/>
        <w:jc w:val="both"/>
        <w:rPr>
          <w:b w:val="0"/>
          <w:bCs w:val="0"/>
          <w:color w:val="000000"/>
          <w:sz w:val="24"/>
          <w:szCs w:val="24"/>
          <w:vertAlign w:val="baseline"/>
        </w:rPr>
      </w:pPr>
      <w:r w:rsidDel="00000000" w:rsidR="00000000" w:rsidRPr="00000000">
        <w:rPr>
          <w:b w:val="1"/>
          <w:bCs w:val="1"/>
          <w:i w:val="1"/>
          <w:iCs w:val="1"/>
          <w:color w:val="000000"/>
          <w:sz w:val="24"/>
          <w:szCs w:val="24"/>
          <w:vertAlign w:val="baseline"/>
          <w:rtl w:val="0"/>
        </w:rPr>
        <w:tab/>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D">
      <w:pPr>
        <w:ind w:right="1" w:firstLine="567"/>
        <w:jc w:val="both"/>
        <w:rPr>
          <w:sz w:val="24"/>
          <w:szCs w:val="24"/>
          <w:vertAlign w:val="baseline"/>
        </w:rPr>
      </w:pPr>
      <w:r w:rsidDel="00000000" w:rsidR="00000000" w:rsidRPr="00000000">
        <w:rPr>
          <w:rtl w:val="0"/>
        </w:rPr>
      </w:r>
    </w:p>
    <w:p w:rsidR="00000000" w:rsidDel="00000000" w:rsidP="00000000" w:rsidRDefault="00000000" w:rsidRPr="00000000" w14:paraId="0000001E">
      <w:pPr>
        <w:ind w:right="1" w:firstLine="567"/>
        <w:jc w:val="both"/>
        <w:rPr>
          <w:sz w:val="24"/>
          <w:szCs w:val="24"/>
          <w:vertAlign w:val="baseline"/>
        </w:rPr>
      </w:pPr>
      <w:r w:rsidDel="00000000" w:rsidR="00000000" w:rsidRPr="00000000">
        <w:rPr>
          <w:sz w:val="24"/>
          <w:szCs w:val="24"/>
          <w:vertAlign w:val="baseline"/>
          <w:rtl w:val="0"/>
        </w:rPr>
        <w:tab/>
        <w:t xml:space="preserve">Сигналът е подаден от физическо лице, с посочени три имена, длъжност, адрес за кореспонденция, телефон и е подписан.</w:t>
      </w:r>
    </w:p>
    <w:p w:rsidR="00000000" w:rsidDel="00000000" w:rsidP="00000000" w:rsidRDefault="00000000" w:rsidRPr="00000000" w14:paraId="0000001F">
      <w:pPr>
        <w:ind w:firstLine="720"/>
        <w:jc w:val="both"/>
        <w:rPr>
          <w:sz w:val="24"/>
          <w:szCs w:val="24"/>
          <w:vertAlign w:val="baseline"/>
        </w:rPr>
      </w:pPr>
      <w:r w:rsidDel="00000000" w:rsidR="00000000" w:rsidRPr="00000000">
        <w:rPr>
          <w:sz w:val="24"/>
          <w:szCs w:val="24"/>
          <w:vertAlign w:val="baseline"/>
          <w:rtl w:val="0"/>
        </w:rPr>
        <w:t xml:space="preserve">Делян *** Добрев е избран за народен представител в 48-то Народно събрание на Република България на проведените на 02.10.2022 г. предсрочни парламентарни избори. Същият е положил клетва като народен представител на 19.10.2022 г. На 20.10.2022 г. Добрев е подал в 48-то Народно събрание декларация по чл.35, ал.1, т.1 от ЗПКОНПИ, във връзка с чл.68, ал.1 от Конституцията на Република България и чл.134 от Правилника за организацията и дейността на Народното събрание, вх.№АД-48-254-00-48/20.10.2022 г. на НС, в която е декларирал, че не изпълнява друга държавна служба и не извършва дейност, която според закона е несъвместима с положението на народен представител, както и че не участва в управителни или контролни органи на търговски дружества. </w:t>
      </w:r>
    </w:p>
    <w:p w:rsidR="00000000" w:rsidDel="00000000" w:rsidP="00000000" w:rsidRDefault="00000000" w:rsidRPr="00000000" w14:paraId="00000020">
      <w:pPr>
        <w:ind w:firstLine="720"/>
        <w:jc w:val="both"/>
        <w:rPr>
          <w:sz w:val="24"/>
          <w:szCs w:val="24"/>
          <w:vertAlign w:val="baseline"/>
        </w:rPr>
      </w:pPr>
      <w:r w:rsidDel="00000000" w:rsidR="00000000" w:rsidRPr="00000000">
        <w:rPr>
          <w:sz w:val="24"/>
          <w:szCs w:val="24"/>
          <w:vertAlign w:val="baseline"/>
          <w:rtl w:val="0"/>
        </w:rPr>
        <w:t xml:space="preserve">Като народен представител в 48-то Народно събрание Добрев е подал декларация по чл.35, ал.1, т.2 от ЗПКОНПИ (отм.) – Част I-ва с вх. № В1813/14.10.2022 г. и Част II-ра с вх. № В1814/14.10.2023 г., в която не е декларирал данни за свързани лица, към дейността на които като лице, заемащо публична длъжност има частен интерес.</w:t>
      </w:r>
    </w:p>
    <w:p w:rsidR="00000000" w:rsidDel="00000000" w:rsidP="00000000" w:rsidRDefault="00000000" w:rsidRPr="00000000" w14:paraId="00000021">
      <w:pPr>
        <w:ind w:firstLine="720"/>
        <w:jc w:val="both"/>
        <w:rPr>
          <w:sz w:val="24"/>
          <w:szCs w:val="24"/>
          <w:vertAlign w:val="baseline"/>
        </w:rPr>
      </w:pPr>
      <w:r w:rsidDel="00000000" w:rsidR="00000000" w:rsidRPr="00000000">
        <w:rPr>
          <w:sz w:val="24"/>
          <w:szCs w:val="24"/>
          <w:vertAlign w:val="baseline"/>
          <w:rtl w:val="0"/>
        </w:rPr>
        <w:t xml:space="preserve">На 27.10.2022 г. 48-то Народно събрание избира състав на постоянните комисии, в това число и на Комисията по енергетика, състояща се от общо 23 народни представители, от които 6 от Парламентарната група (ПГ) на „ГЕРБ-СДС“, 5 от ПГ „Продължаваме промяната“, 4 от ПГ „Движение за права и свободи“, 3 от ПГ „Възраждане“, 2 от ПГ „БСП за България“ и 1 от ПГ „Български възход“. Парламентарната група на ГЕРБ предлага за член и председател на същата комисия да бъде избран Делян Добрев. Предложеният състав на Комисията по енергетика е гласуван анблок от народните представители и е избран с гласовете на 210 народни представители, 1 глас „против“ и 1 глас „въздържал се“.</w:t>
      </w:r>
    </w:p>
    <w:p w:rsidR="00000000" w:rsidDel="00000000" w:rsidP="00000000" w:rsidRDefault="00000000" w:rsidRPr="00000000" w14:paraId="00000022">
      <w:pPr>
        <w:ind w:firstLine="720"/>
        <w:jc w:val="both"/>
        <w:rPr>
          <w:sz w:val="24"/>
          <w:szCs w:val="24"/>
          <w:vertAlign w:val="baseline"/>
        </w:rPr>
      </w:pPr>
      <w:r w:rsidDel="00000000" w:rsidR="00000000" w:rsidRPr="00000000">
        <w:rPr>
          <w:sz w:val="24"/>
          <w:szCs w:val="24"/>
          <w:vertAlign w:val="baseline"/>
          <w:rtl w:val="0"/>
        </w:rPr>
        <w:t xml:space="preserve">От справка в ТРРЮЛНЦ се установи, че Делян *** Добрев няма участия в търговски дружества,  нито е член на орган на управление или контрол на такива. На 30.07.2024 г. същият е вписан като член на Управителния съвет на Сдружение с нестопанска цел „***“, ЕИК ***. Целите на сдружението са да представлява България в Световния енергиен съвет, да организира българското участие в работата на СЕС, самостоятелно или съвместно с други организации, да проучва въпроси, свързани с производството и използването на всички форми на енергия, за доставка и употреба в полза на хората, с най-малка вреда за околната среда, в краткосрочен и дългосрочен план, да публикува и разпространява необходимите резултати от проучвателната дейност, да осъществява обмен на информация в областта на енергетиката, да събира, анализира и представя перспективите в областта на енергетиката, да изготвя стратегически прогнози, да сътрудничи с други организации в енергийния сектор, имащи подобни цели.</w:t>
      </w:r>
    </w:p>
    <w:p w:rsidR="00000000" w:rsidDel="00000000" w:rsidP="00000000" w:rsidRDefault="00000000" w:rsidRPr="00000000" w14:paraId="00000023">
      <w:pPr>
        <w:ind w:firstLine="720"/>
        <w:jc w:val="both"/>
        <w:rPr>
          <w:sz w:val="24"/>
          <w:szCs w:val="24"/>
          <w:vertAlign w:val="baseline"/>
        </w:rPr>
      </w:pPr>
      <w:r w:rsidDel="00000000" w:rsidR="00000000" w:rsidRPr="00000000">
        <w:rPr>
          <w:sz w:val="24"/>
          <w:szCs w:val="24"/>
          <w:vertAlign w:val="baseline"/>
          <w:rtl w:val="0"/>
        </w:rPr>
        <w:t xml:space="preserve">От справка в НБД „Население“ е видно, че З. С. Д. (майка) и А. Д. Д. (баща) са родители на Делян Добрев.</w:t>
      </w:r>
    </w:p>
    <w:p w:rsidR="00000000" w:rsidDel="00000000" w:rsidP="00000000" w:rsidRDefault="00000000" w:rsidRPr="00000000" w14:paraId="00000024">
      <w:pPr>
        <w:ind w:firstLine="720"/>
        <w:jc w:val="both"/>
        <w:rPr>
          <w:sz w:val="24"/>
          <w:szCs w:val="24"/>
          <w:vertAlign w:val="baseline"/>
        </w:rPr>
      </w:pPr>
      <w:r w:rsidDel="00000000" w:rsidR="00000000" w:rsidRPr="00000000">
        <w:rPr>
          <w:sz w:val="24"/>
          <w:szCs w:val="24"/>
          <w:vertAlign w:val="baseline"/>
          <w:rtl w:val="0"/>
        </w:rPr>
        <w:t xml:space="preserve">З. Д. и А. Д. са съдружници и съуправители на дружеството „***“ ООД, ЕИК ***, гр. Х., в чийто предмет на дейност се включват: оценяване на съответствието на инвестиционните проекти и упражняване на строителен надзор, проектантски, строително - монтажни и геодезични услуги, инвеститорски контрол; покупка, строеж или обзавеждане на недвижими имоти с цел продажба; покупка на стоки или други вещи с цел продажба в първоначален, преработен или обработен вид; продажба на стоки от собствено производство; търговско представителство и посредничество; хотелиерски услуги, туристически, рекламни, информационни, програмни и импресарски услуги; квалификационни и преквалификационни услуги, извършване на консултации по изготвяне на проекти, програмни документи, стратегии и планове за развитие, изработване на бизнес планове, маркетингови и други проучвания, експертни, консултантски, преводачески и други услуги, производство на изделия от дърво и търговия с дървен материал и изделия от дърво.</w:t>
      </w:r>
    </w:p>
    <w:p w:rsidR="00000000" w:rsidDel="00000000" w:rsidP="00000000" w:rsidRDefault="00000000" w:rsidRPr="00000000" w14:paraId="00000025">
      <w:pPr>
        <w:ind w:firstLine="720"/>
        <w:jc w:val="both"/>
        <w:rPr>
          <w:sz w:val="24"/>
          <w:szCs w:val="24"/>
          <w:vertAlign w:val="baseline"/>
        </w:rPr>
      </w:pPr>
      <w:r w:rsidDel="00000000" w:rsidR="00000000" w:rsidRPr="00000000">
        <w:rPr>
          <w:sz w:val="24"/>
          <w:szCs w:val="24"/>
          <w:vertAlign w:val="baseline"/>
          <w:rtl w:val="0"/>
        </w:rPr>
        <w:t xml:space="preserve">До 23.07.2023 г. „***“ ООД е участвало в Управителния съвет на „***“, ЕИК ***, имаща за цел да подпомага своите членове, като защитава техните производствени, търговски и делови интереси пред държавните, обществените и частните органи, организации и фирми; да съдейства при разработване на юридически актове и документи и да осъществява представителство пред регионалните и централните органи на властите у нас; да обединява дейността и интересите на членовете си за осъществяване на ефективни резултати от дейността им; да защитава в страната и чужбина интелектуалната собственост на членовете си; да издирва и организира редовно получаване на информация от вътрешен и международен характер относно новостите, засягащи предмета на дейност на членовете му.</w:t>
      </w:r>
    </w:p>
    <w:p w:rsidR="00000000" w:rsidDel="00000000" w:rsidP="00000000" w:rsidRDefault="00000000" w:rsidRPr="00000000" w14:paraId="00000026">
      <w:pPr>
        <w:ind w:firstLine="720"/>
        <w:jc w:val="both"/>
        <w:rPr>
          <w:sz w:val="24"/>
          <w:szCs w:val="24"/>
          <w:vertAlign w:val="baseline"/>
        </w:rPr>
      </w:pPr>
      <w:r w:rsidDel="00000000" w:rsidR="00000000" w:rsidRPr="00000000">
        <w:rPr>
          <w:sz w:val="24"/>
          <w:szCs w:val="24"/>
          <w:vertAlign w:val="baseline"/>
          <w:rtl w:val="0"/>
        </w:rPr>
        <w:t xml:space="preserve">„ТЕЦ ***“ АД е акционерно дружество – юридическо лице, отделно от акционерите. Дружеството е публично по смисъла на Закона за публично предлагане на ценните книжа и е регистрирано в Държавната комисия по ценни книжа. В предмета на дейност на дружеството се включва: Производство на електрическа и топлинна енергия, пренос и разпределение на топлинна енергия, строителна и ремонтна дейност в областта на електроенергетиката, строителна и ремонтна дейност в областта на електропроизводството и топлопроизводството, инвестиционна дейност, придобиване и разпореждане с авторски права, права върху изобретения, търговски марки и промишлени образци, ноу-хау и др.обекти на интелектуалната собственост, както и всяка друга дейност, незабранена със закон или друг нормативен акт. Дружеството се  управлява от Съвет на директорите, от чийто състав е избран Изпълнителен директор.</w:t>
      </w:r>
    </w:p>
    <w:p w:rsidR="00000000" w:rsidDel="00000000" w:rsidP="00000000" w:rsidRDefault="00000000" w:rsidRPr="00000000" w14:paraId="00000027">
      <w:pPr>
        <w:ind w:firstLine="720"/>
        <w:jc w:val="both"/>
        <w:rPr>
          <w:sz w:val="24"/>
          <w:szCs w:val="24"/>
          <w:vertAlign w:val="baseline"/>
        </w:rPr>
      </w:pPr>
      <w:r w:rsidDel="00000000" w:rsidR="00000000" w:rsidRPr="00000000">
        <w:rPr>
          <w:sz w:val="24"/>
          <w:szCs w:val="24"/>
          <w:vertAlign w:val="baseline"/>
          <w:rtl w:val="0"/>
        </w:rPr>
        <w:t xml:space="preserve">„***“ ЕООД е дъщерно дружество на „ТЕЦ ***“ АД, което е едноличен собственик на капитала на първото. В предмета на дейност на дружеството се включва:</w:t>
      </w:r>
      <w:r w:rsidDel="00000000" w:rsidR="00000000" w:rsidRPr="00000000">
        <w:rPr>
          <w:rFonts w:ascii="Verdana" w:cs="Verdana" w:eastAsia="Verdana" w:hAnsi="Verdana"/>
          <w:sz w:val="21"/>
          <w:szCs w:val="21"/>
          <w:vertAlign w:val="baseline"/>
          <w:rtl w:val="0"/>
        </w:rPr>
        <w:t xml:space="preserve"> </w:t>
      </w:r>
      <w:r w:rsidDel="00000000" w:rsidR="00000000" w:rsidRPr="00000000">
        <w:rPr>
          <w:sz w:val="24"/>
          <w:szCs w:val="24"/>
          <w:vertAlign w:val="baseline"/>
          <w:rtl w:val="0"/>
        </w:rPr>
        <w:t xml:space="preserve">доставка, съхранение и търговия с въглища, брикети, газ пропан-бутан, течни горива и нефтопродукти от внос, и местно производство, вътрешна и външна търговия със строителни материали и стоки за промишлено и жилищно строителство, инженерингова дейност-проектиране и изграждане на обекти за складиране, и съхранение на горива и стоки; търговски комплекси, проектиране, доставка на съоръжения и изграждане на инсталации за битово и промишлено потребление на въглища и брикети, транспортна и спедиторска дейност и услуги, международен транспорт, отдаване под наем на дълготрайни активи, търговско представителство в страната и в чужбина, посредническа дейност, търговия с химически продукти, търговия с източници на светлина и топлина, покупки и продажби на машини, съоръжения и недвижими имоти, като дружеството може да извършва и всякаква друга дейност, незабранена със закон. Дружеството се ръководи оперативно и се представлява в отношенията с третите лица от управителя, който се избира от едноличния собственик на капитала. В случая изпълнителният директор на  „ТЕЦ ***“ АД е и управител на „***“ ЕООД.</w:t>
      </w:r>
    </w:p>
    <w:p w:rsidR="00000000" w:rsidDel="00000000" w:rsidP="00000000" w:rsidRDefault="00000000" w:rsidRPr="00000000" w14:paraId="00000028">
      <w:pPr>
        <w:ind w:firstLine="720"/>
        <w:jc w:val="both"/>
        <w:rPr>
          <w:sz w:val="24"/>
          <w:szCs w:val="24"/>
          <w:vertAlign w:val="baseline"/>
        </w:rPr>
      </w:pPr>
      <w:r w:rsidDel="00000000" w:rsidR="00000000" w:rsidRPr="00000000">
        <w:rPr>
          <w:sz w:val="24"/>
          <w:szCs w:val="24"/>
          <w:vertAlign w:val="baseline"/>
          <w:rtl w:val="0"/>
        </w:rPr>
        <w:t xml:space="preserve"> От представения с писмо, вх. № КПК-ПК-159#7/13.11.2023 г. на КПК, от изпълнителния директор на Изпълнителна агенция по горите Доклад с рег.№ 30783/09.12.2022 г. се установява: </w:t>
      </w:r>
      <w:r w:rsidDel="00000000" w:rsidR="00000000" w:rsidRPr="00000000">
        <w:rPr>
          <w:color w:val="000000"/>
          <w:sz w:val="24"/>
          <w:szCs w:val="24"/>
          <w:vertAlign w:val="baseline"/>
          <w:rtl w:val="0"/>
        </w:rPr>
        <w:t xml:space="preserve">В изпълнение на заповед № БГ-577/06.12.2022 г. на изпълнителния директор на ИАГ, експерти от агенцията са извършили проверки по спазване на горското законодателство в района на РДГ К., като са направили следните констатации: </w:t>
      </w:r>
      <w:r w:rsidDel="00000000" w:rsidR="00000000" w:rsidRPr="00000000">
        <w:rPr>
          <w:rtl w:val="0"/>
        </w:rPr>
      </w:r>
    </w:p>
    <w:p w:rsidR="00000000" w:rsidDel="00000000" w:rsidP="00000000" w:rsidRDefault="00000000" w:rsidRPr="00000000" w14:paraId="00000029">
      <w:pPr>
        <w:ind w:firstLine="720"/>
        <w:jc w:val="both"/>
        <w:rPr>
          <w:color w:val="000000"/>
          <w:sz w:val="24"/>
          <w:szCs w:val="24"/>
          <w:vertAlign w:val="baseline"/>
        </w:rPr>
      </w:pPr>
      <w:r w:rsidDel="00000000" w:rsidR="00000000" w:rsidRPr="00000000">
        <w:rPr>
          <w:color w:val="000000"/>
          <w:sz w:val="24"/>
          <w:szCs w:val="24"/>
          <w:vertAlign w:val="baseline"/>
          <w:rtl w:val="0"/>
        </w:rPr>
        <w:t xml:space="preserve">Проверено е дружество ТЕЦ „***“ АД, във връзка с информация за постъпила дървесина в централата, без да е придружена с превозни билети. По случая е извършена проверка и от служители на РДГ К., на които са представени 8 бр. фактури за доставка на дървесен чипс от фирма „***“ ООД, средно по около 3 000 тона месечно, на цена от 95 лв. на тон, като превозни билети за чипса не са представени.</w:t>
      </w:r>
    </w:p>
    <w:p w:rsidR="00000000" w:rsidDel="00000000" w:rsidP="00000000" w:rsidRDefault="00000000" w:rsidRPr="00000000" w14:paraId="0000002A">
      <w:pPr>
        <w:ind w:firstLine="720"/>
        <w:jc w:val="both"/>
        <w:rPr>
          <w:sz w:val="24"/>
          <w:szCs w:val="24"/>
          <w:vertAlign w:val="baseline"/>
        </w:rPr>
      </w:pPr>
      <w:r w:rsidDel="00000000" w:rsidR="00000000" w:rsidRPr="00000000">
        <w:rPr>
          <w:color w:val="000000"/>
          <w:sz w:val="24"/>
          <w:szCs w:val="24"/>
          <w:vertAlign w:val="baseline"/>
          <w:rtl w:val="0"/>
        </w:rPr>
        <w:t xml:space="preserve">Управителят на ТЕЦ „***“ АД е обяснил, че става въпрос за доставка на дървесни отпадъци - кори и стърготини, които се фактурират като дървесен чипс.</w:t>
      </w:r>
      <w:r w:rsidDel="00000000" w:rsidR="00000000" w:rsidRPr="00000000">
        <w:rPr>
          <w:rtl w:val="0"/>
        </w:rPr>
      </w:r>
    </w:p>
    <w:p w:rsidR="00000000" w:rsidDel="00000000" w:rsidP="00000000" w:rsidRDefault="00000000" w:rsidRPr="00000000" w14:paraId="0000002B">
      <w:pPr>
        <w:ind w:firstLine="720"/>
        <w:jc w:val="both"/>
        <w:rPr>
          <w:sz w:val="24"/>
          <w:szCs w:val="24"/>
          <w:vertAlign w:val="baseline"/>
        </w:rPr>
      </w:pPr>
      <w:r w:rsidDel="00000000" w:rsidR="00000000" w:rsidRPr="00000000">
        <w:rPr>
          <w:color w:val="000000"/>
          <w:sz w:val="24"/>
          <w:szCs w:val="24"/>
          <w:vertAlign w:val="baseline"/>
          <w:rtl w:val="0"/>
        </w:rPr>
        <w:t xml:space="preserve">На територията на ТЕЦ „***“ АД не е констатирано наличие на дървесина.</w:t>
      </w:r>
      <w:r w:rsidDel="00000000" w:rsidR="00000000" w:rsidRPr="00000000">
        <w:rPr>
          <w:rtl w:val="0"/>
        </w:rPr>
      </w:r>
    </w:p>
    <w:p w:rsidR="00000000" w:rsidDel="00000000" w:rsidP="00000000" w:rsidRDefault="00000000" w:rsidRPr="00000000" w14:paraId="0000002C">
      <w:pPr>
        <w:ind w:firstLine="720"/>
        <w:jc w:val="both"/>
        <w:rPr>
          <w:sz w:val="24"/>
          <w:szCs w:val="24"/>
          <w:vertAlign w:val="baseline"/>
        </w:rPr>
      </w:pPr>
      <w:r w:rsidDel="00000000" w:rsidR="00000000" w:rsidRPr="00000000">
        <w:rPr>
          <w:color w:val="000000"/>
          <w:sz w:val="24"/>
          <w:szCs w:val="24"/>
          <w:vertAlign w:val="baseline"/>
          <w:rtl w:val="0"/>
        </w:rPr>
        <w:t xml:space="preserve">Съставен е констативен протокол № 152682 от 07.12.2022 г., с предписание при постъпване на дървесина в ТЕЦ „***“ АД да се спазват изискванията на чл. 15в от Наредба № 1 за контрола и опазването на горските територии. В тази връзка е извършена проверка и в обект по чл. 206 от Закона за горите на фирма „***“ ООД, с. Сушево. Обектът представлява фабрика за производство на пелети, като представителят на фирмата е показал на проверяващите отпадъците от машината за дробене на дървесина, които по думите му се продават на ТЕЦ „***“ АД, заедно с дървесни отпадъци от друг обект по чл. 206 от ЗГ на същата фирма, намиращ се на територията на РДГ С..</w:t>
      </w:r>
      <w:r w:rsidDel="00000000" w:rsidR="00000000" w:rsidRPr="00000000">
        <w:rPr>
          <w:rtl w:val="0"/>
        </w:rPr>
      </w:r>
    </w:p>
    <w:p w:rsidR="00000000" w:rsidDel="00000000" w:rsidP="00000000" w:rsidRDefault="00000000" w:rsidRPr="00000000" w14:paraId="0000002D">
      <w:pPr>
        <w:ind w:firstLine="720"/>
        <w:jc w:val="both"/>
        <w:rPr>
          <w:sz w:val="24"/>
          <w:szCs w:val="24"/>
          <w:vertAlign w:val="baseline"/>
        </w:rPr>
      </w:pPr>
      <w:r w:rsidDel="00000000" w:rsidR="00000000" w:rsidRPr="00000000">
        <w:rPr>
          <w:color w:val="000000"/>
          <w:sz w:val="24"/>
          <w:szCs w:val="24"/>
          <w:vertAlign w:val="baseline"/>
          <w:rtl w:val="0"/>
        </w:rPr>
        <w:t xml:space="preserve">Извършена е теренна проверка на обекти за добив на дървесина в ТП ДГС Х. и ТП ДЛС Ж., както следва:</w:t>
      </w:r>
      <w:r w:rsidDel="00000000" w:rsidR="00000000" w:rsidRPr="00000000">
        <w:rPr>
          <w:rtl w:val="0"/>
        </w:rPr>
      </w:r>
    </w:p>
    <w:p w:rsidR="00000000" w:rsidDel="00000000" w:rsidP="00000000" w:rsidRDefault="00000000" w:rsidRPr="00000000" w14:paraId="0000002E">
      <w:pPr>
        <w:ind w:firstLine="720"/>
        <w:jc w:val="both"/>
        <w:rPr>
          <w:sz w:val="24"/>
          <w:szCs w:val="24"/>
          <w:vertAlign w:val="baseline"/>
        </w:rPr>
      </w:pPr>
      <w:r w:rsidDel="00000000" w:rsidR="00000000" w:rsidRPr="00000000">
        <w:rPr>
          <w:color w:val="000000"/>
          <w:sz w:val="24"/>
          <w:szCs w:val="24"/>
          <w:vertAlign w:val="baseline"/>
          <w:rtl w:val="0"/>
        </w:rPr>
        <w:t xml:space="preserve">В ТП ДГС Х. са проверени подотдели 616 „ж”, 616 „д”, 214 „ж”, държавни горски територии, вид на сечта - принудителна. В участъците, в които е изведена принудителната сеч не е влошено състоянието на гората, и сечта е добре изведена без наличие на повреди върху оставащия дървостой, структурата на гората не е нарушена. Не са констатирани нарушения.</w:t>
      </w:r>
      <w:r w:rsidDel="00000000" w:rsidR="00000000" w:rsidRPr="00000000">
        <w:rPr>
          <w:rtl w:val="0"/>
        </w:rPr>
      </w:r>
    </w:p>
    <w:p w:rsidR="00000000" w:rsidDel="00000000" w:rsidP="00000000" w:rsidRDefault="00000000" w:rsidRPr="00000000" w14:paraId="0000002F">
      <w:pPr>
        <w:ind w:firstLine="720"/>
        <w:jc w:val="both"/>
        <w:rPr>
          <w:sz w:val="24"/>
          <w:szCs w:val="24"/>
          <w:vertAlign w:val="baseline"/>
        </w:rPr>
      </w:pPr>
      <w:r w:rsidDel="00000000" w:rsidR="00000000" w:rsidRPr="00000000">
        <w:rPr>
          <w:color w:val="000000"/>
          <w:sz w:val="24"/>
          <w:szCs w:val="24"/>
          <w:vertAlign w:val="baseline"/>
          <w:rtl w:val="0"/>
        </w:rPr>
        <w:t xml:space="preserve">В ТП ДЛС Ж. са проверени подотдели 405 „н”, 405 „у”, 405 „к”, в които е водена принудителна сеч в следствие на възникнали пожари, като в подотдели 405 „н”, 405 „у” сечта е приключила и са издадени позволителни за сеч за местното население да събира вършината. Здравите дървета са оставени, а площта на повредената част от насаждението е ограничена с боя на оставащите на корен дървета. Не са констатирани нарушения.</w:t>
      </w:r>
      <w:r w:rsidDel="00000000" w:rsidR="00000000" w:rsidRPr="00000000">
        <w:rPr>
          <w:rtl w:val="0"/>
        </w:rPr>
      </w:r>
    </w:p>
    <w:p w:rsidR="00000000" w:rsidDel="00000000" w:rsidP="00000000" w:rsidRDefault="00000000" w:rsidRPr="00000000" w14:paraId="00000030">
      <w:pPr>
        <w:ind w:firstLine="720"/>
        <w:jc w:val="both"/>
        <w:rPr>
          <w:sz w:val="24"/>
          <w:szCs w:val="24"/>
          <w:vertAlign w:val="baseline"/>
        </w:rPr>
      </w:pPr>
      <w:r w:rsidDel="00000000" w:rsidR="00000000" w:rsidRPr="00000000">
        <w:rPr>
          <w:color w:val="000000"/>
          <w:sz w:val="24"/>
          <w:szCs w:val="24"/>
          <w:vertAlign w:val="baseline"/>
          <w:rtl w:val="0"/>
        </w:rPr>
        <w:t xml:space="preserve">В Подотдел 428 „в” - съществуващите пътища са отбелязани на технологичния план и с трайна боя на терен. Вършината е разхвърляна по цялото сечище съгласно технологичния план. Не са констатирани нарушения.</w:t>
      </w:r>
      <w:r w:rsidDel="00000000" w:rsidR="00000000" w:rsidRPr="00000000">
        <w:rPr>
          <w:rtl w:val="0"/>
        </w:rPr>
      </w:r>
    </w:p>
    <w:p w:rsidR="00000000" w:rsidDel="00000000" w:rsidP="00000000" w:rsidRDefault="00000000" w:rsidRPr="00000000" w14:paraId="00000031">
      <w:pPr>
        <w:ind w:firstLine="720"/>
        <w:jc w:val="both"/>
        <w:rPr>
          <w:color w:val="000000"/>
          <w:sz w:val="24"/>
          <w:szCs w:val="24"/>
          <w:vertAlign w:val="baseline"/>
        </w:rPr>
      </w:pPr>
      <w:r w:rsidDel="00000000" w:rsidR="00000000" w:rsidRPr="00000000">
        <w:rPr>
          <w:color w:val="000000"/>
          <w:sz w:val="24"/>
          <w:szCs w:val="24"/>
          <w:vertAlign w:val="baseline"/>
          <w:rtl w:val="0"/>
        </w:rPr>
        <w:t xml:space="preserve">От представен по преписката констативен протокол серия КОО №129709  от 24.01.2023 г., съставен от експерти от РДГ К. на място, в обект по чл. 206 от ЗГ на фирма „***“ ООД, с. Сушево, е видно, че дадените с констативен протокол № 152683 от 07.12.2022 г. предписания са изпълнени.</w:t>
      </w:r>
    </w:p>
    <w:p w:rsidR="00000000" w:rsidDel="00000000" w:rsidP="00000000" w:rsidRDefault="00000000" w:rsidRPr="00000000" w14:paraId="00000032">
      <w:pPr>
        <w:ind w:firstLine="720"/>
        <w:jc w:val="both"/>
        <w:rPr>
          <w:color w:val="000000"/>
          <w:sz w:val="24"/>
          <w:szCs w:val="24"/>
          <w:vertAlign w:val="baseline"/>
        </w:rPr>
      </w:pPr>
      <w:r w:rsidDel="00000000" w:rsidR="00000000" w:rsidRPr="00000000">
        <w:rPr>
          <w:sz w:val="24"/>
          <w:szCs w:val="24"/>
          <w:vertAlign w:val="baseline"/>
          <w:rtl w:val="0"/>
        </w:rPr>
        <w:t xml:space="preserve">Видно от  писмо с вх.№КПК-ПК-159#8/17.11.2023 г. от изпълнителния директор на ТЕЦ „***“ АД в периода от  01.01.2021г. до </w:t>
      </w:r>
      <w:r w:rsidDel="00000000" w:rsidR="00000000" w:rsidRPr="00000000">
        <w:rPr>
          <w:color w:val="000000"/>
          <w:sz w:val="24"/>
          <w:szCs w:val="24"/>
          <w:vertAlign w:val="baseline"/>
          <w:rtl w:val="0"/>
        </w:rPr>
        <w:t xml:space="preserve">18.10.2023г. в „Т</w:t>
      </w:r>
      <w:r w:rsidDel="00000000" w:rsidR="00000000" w:rsidRPr="00000000">
        <w:rPr>
          <w:sz w:val="24"/>
          <w:szCs w:val="24"/>
          <w:vertAlign w:val="baseline"/>
          <w:rtl w:val="0"/>
        </w:rPr>
        <w:t xml:space="preserve">ЕЦ ***“ АД не е постъпвала пряко</w:t>
      </w:r>
      <w:r w:rsidDel="00000000" w:rsidR="00000000" w:rsidRPr="00000000">
        <w:rPr>
          <w:color w:val="000000"/>
          <w:sz w:val="24"/>
          <w:szCs w:val="24"/>
          <w:vertAlign w:val="baseline"/>
          <w:rtl w:val="0"/>
        </w:rPr>
        <w:t xml:space="preserve"> дървесина /обработена и необработена/ от „***“ ООД, ЕИК: ***, гр. Х..</w:t>
      </w:r>
      <w:r w:rsidDel="00000000" w:rsidR="00000000" w:rsidRPr="00000000">
        <w:rPr>
          <w:sz w:val="24"/>
          <w:szCs w:val="24"/>
          <w:vertAlign w:val="baseline"/>
          <w:rtl w:val="0"/>
        </w:rPr>
        <w:t xml:space="preserve"> Пояснено е, че в</w:t>
      </w:r>
      <w:r w:rsidDel="00000000" w:rsidR="00000000" w:rsidRPr="00000000">
        <w:rPr>
          <w:color w:val="000000"/>
          <w:sz w:val="24"/>
          <w:szCs w:val="24"/>
          <w:vertAlign w:val="baseline"/>
          <w:rtl w:val="0"/>
        </w:rPr>
        <w:t xml:space="preserve">сички дейности, свързани с транспортиране, обогатяване и доставка на горива, чрез процес на миксиране (смесване) на различните по калоричност въглища, и биомаса от селското и горското стопанства, и подаване на готовия за изгаряне микс към бункерите на „ТЕЦ ***“ АД, както и поддържането на минимално необходим резерв от въглища, и биомаса</w:t>
      </w:r>
      <w:r w:rsidDel="00000000" w:rsidR="00000000" w:rsidRPr="00000000">
        <w:rPr>
          <w:sz w:val="24"/>
          <w:szCs w:val="24"/>
          <w:vertAlign w:val="baseline"/>
          <w:rtl w:val="0"/>
        </w:rPr>
        <w:t xml:space="preserve">,</w:t>
      </w:r>
      <w:r w:rsidDel="00000000" w:rsidR="00000000" w:rsidRPr="00000000">
        <w:rPr>
          <w:color w:val="000000"/>
          <w:sz w:val="24"/>
          <w:szCs w:val="24"/>
          <w:vertAlign w:val="baseline"/>
          <w:rtl w:val="0"/>
        </w:rPr>
        <w:t xml:space="preserve"> се осъществява от дъщерното н</w:t>
      </w:r>
      <w:r w:rsidDel="00000000" w:rsidR="00000000" w:rsidRPr="00000000">
        <w:rPr>
          <w:sz w:val="24"/>
          <w:szCs w:val="24"/>
          <w:vertAlign w:val="baseline"/>
          <w:rtl w:val="0"/>
        </w:rPr>
        <w:t xml:space="preserve">а „ТЕЦ ***“ АД</w:t>
      </w:r>
      <w:r w:rsidDel="00000000" w:rsidR="00000000" w:rsidRPr="00000000">
        <w:rPr>
          <w:color w:val="000000"/>
          <w:sz w:val="24"/>
          <w:szCs w:val="24"/>
          <w:vertAlign w:val="baseline"/>
          <w:rtl w:val="0"/>
        </w:rPr>
        <w:t xml:space="preserve"> дружество „***</w:t>
      </w:r>
      <w:r w:rsidDel="00000000" w:rsidR="00000000" w:rsidRPr="00000000">
        <w:rPr>
          <w:sz w:val="24"/>
          <w:szCs w:val="24"/>
          <w:vertAlign w:val="baseline"/>
          <w:rtl w:val="0"/>
        </w:rPr>
        <w:t xml:space="preserve">“ ЕООД, ЕИК: ***, което</w:t>
      </w:r>
      <w:r w:rsidDel="00000000" w:rsidR="00000000" w:rsidRPr="00000000">
        <w:rPr>
          <w:color w:val="000000"/>
          <w:sz w:val="24"/>
          <w:szCs w:val="24"/>
          <w:vertAlign w:val="baseline"/>
          <w:rtl w:val="0"/>
        </w:rPr>
        <w:t xml:space="preserve"> осъществява изцяло периодичните доставки на биомаса, в т.ч. и такава от горското стопанство.</w:t>
      </w:r>
    </w:p>
    <w:p w:rsidR="00000000" w:rsidDel="00000000" w:rsidP="00000000" w:rsidRDefault="00000000" w:rsidRPr="00000000" w14:paraId="00000033">
      <w:pPr>
        <w:ind w:firstLine="720"/>
        <w:jc w:val="both"/>
        <w:rPr>
          <w:color w:val="000000"/>
          <w:sz w:val="24"/>
          <w:szCs w:val="24"/>
          <w:vertAlign w:val="baseline"/>
        </w:rPr>
      </w:pPr>
      <w:r w:rsidDel="00000000" w:rsidR="00000000" w:rsidRPr="00000000">
        <w:rPr>
          <w:sz w:val="24"/>
          <w:szCs w:val="24"/>
          <w:vertAlign w:val="baseline"/>
          <w:rtl w:val="0"/>
        </w:rPr>
        <w:t xml:space="preserve">От приложените към горецитираното писмо </w:t>
      </w:r>
      <w:r w:rsidDel="00000000" w:rsidR="00000000" w:rsidRPr="00000000">
        <w:rPr>
          <w:color w:val="000000"/>
          <w:sz w:val="24"/>
          <w:szCs w:val="24"/>
          <w:vertAlign w:val="baseline"/>
          <w:rtl w:val="0"/>
        </w:rPr>
        <w:t xml:space="preserve">19 бр. фактури за извършени доставки за</w:t>
      </w:r>
      <w:r w:rsidDel="00000000" w:rsidR="00000000" w:rsidRPr="00000000">
        <w:rPr>
          <w:sz w:val="24"/>
          <w:szCs w:val="24"/>
          <w:vertAlign w:val="baseline"/>
          <w:rtl w:val="0"/>
        </w:rPr>
        <w:t xml:space="preserve"> периода от  01.01.2021г. до </w:t>
      </w:r>
      <w:r w:rsidDel="00000000" w:rsidR="00000000" w:rsidRPr="00000000">
        <w:rPr>
          <w:color w:val="000000"/>
          <w:sz w:val="24"/>
          <w:szCs w:val="24"/>
          <w:vertAlign w:val="baseline"/>
          <w:rtl w:val="0"/>
        </w:rPr>
        <w:t xml:space="preserve">18.10.2023г. от доставчика „***“ ООД на получателя „***“ ЕООД, както и свързаните с тях платежни документи е видно, че доставките са осъществявани периодично, като условията /срокове, количества, плащания/ по същите са договаряни в зависимост от нуждите на текущия производствен процес. </w:t>
      </w:r>
      <w:r w:rsidDel="00000000" w:rsidR="00000000" w:rsidRPr="00000000">
        <w:rPr>
          <w:sz w:val="24"/>
          <w:szCs w:val="24"/>
          <w:vertAlign w:val="baseline"/>
          <w:rtl w:val="0"/>
        </w:rPr>
        <w:t xml:space="preserve">Уточнява се, че в</w:t>
      </w:r>
      <w:r w:rsidDel="00000000" w:rsidR="00000000" w:rsidRPr="00000000">
        <w:rPr>
          <w:color w:val="000000"/>
          <w:sz w:val="24"/>
          <w:szCs w:val="24"/>
          <w:vertAlign w:val="baseline"/>
          <w:rtl w:val="0"/>
        </w:rPr>
        <w:t xml:space="preserve">ъпросния</w:t>
      </w:r>
      <w:r w:rsidDel="00000000" w:rsidR="00000000" w:rsidRPr="00000000">
        <w:rPr>
          <w:sz w:val="24"/>
          <w:szCs w:val="24"/>
          <w:vertAlign w:val="baseline"/>
          <w:rtl w:val="0"/>
        </w:rPr>
        <w:t xml:space="preserve">т</w:t>
      </w:r>
      <w:r w:rsidDel="00000000" w:rsidR="00000000" w:rsidRPr="00000000">
        <w:rPr>
          <w:color w:val="000000"/>
          <w:sz w:val="24"/>
          <w:szCs w:val="24"/>
          <w:vertAlign w:val="baseline"/>
          <w:rtl w:val="0"/>
        </w:rPr>
        <w:t xml:space="preserve"> доставчик е бил избран, защото разполага с необходимия к</w:t>
      </w:r>
      <w:r w:rsidDel="00000000" w:rsidR="00000000" w:rsidRPr="00000000">
        <w:rPr>
          <w:sz w:val="24"/>
          <w:szCs w:val="24"/>
          <w:vertAlign w:val="baseline"/>
          <w:rtl w:val="0"/>
        </w:rPr>
        <w:t xml:space="preserve">апацитет да извършва доставките</w:t>
      </w:r>
      <w:r w:rsidDel="00000000" w:rsidR="00000000" w:rsidRPr="00000000">
        <w:rPr>
          <w:color w:val="000000"/>
          <w:sz w:val="24"/>
          <w:szCs w:val="24"/>
          <w:vertAlign w:val="baseline"/>
          <w:rtl w:val="0"/>
        </w:rPr>
        <w:t xml:space="preserve"> в договорените срокове и със съответното</w:t>
      </w:r>
      <w:r w:rsidDel="00000000" w:rsidR="00000000" w:rsidRPr="00000000">
        <w:rPr>
          <w:sz w:val="24"/>
          <w:szCs w:val="24"/>
          <w:vertAlign w:val="baseline"/>
          <w:rtl w:val="0"/>
        </w:rPr>
        <w:t xml:space="preserve"> качество на доставяните горива, като на първо място е отчетено като </w:t>
      </w:r>
      <w:r w:rsidDel="00000000" w:rsidR="00000000" w:rsidRPr="00000000">
        <w:rPr>
          <w:color w:val="000000"/>
          <w:sz w:val="24"/>
          <w:szCs w:val="24"/>
          <w:vertAlign w:val="baseline"/>
          <w:rtl w:val="0"/>
        </w:rPr>
        <w:t xml:space="preserve">предимство за навременното осъщес</w:t>
      </w:r>
      <w:r w:rsidDel="00000000" w:rsidR="00000000" w:rsidRPr="00000000">
        <w:rPr>
          <w:sz w:val="24"/>
          <w:szCs w:val="24"/>
          <w:vertAlign w:val="baseline"/>
          <w:rtl w:val="0"/>
        </w:rPr>
        <w:t xml:space="preserve">твяване на доставяните горива </w:t>
      </w:r>
      <w:r w:rsidDel="00000000" w:rsidR="00000000" w:rsidRPr="00000000">
        <w:rPr>
          <w:color w:val="000000"/>
          <w:sz w:val="24"/>
          <w:szCs w:val="24"/>
          <w:vertAlign w:val="baseline"/>
          <w:rtl w:val="0"/>
        </w:rPr>
        <w:t xml:space="preserve">относителната близост на производствената база на доставчика - „***“ ЕООД до складовете на „***“ ЕООД</w:t>
      </w:r>
      <w:r w:rsidDel="00000000" w:rsidR="00000000" w:rsidRPr="00000000">
        <w:rPr>
          <w:sz w:val="24"/>
          <w:szCs w:val="24"/>
          <w:vertAlign w:val="baseline"/>
          <w:rtl w:val="0"/>
        </w:rPr>
        <w:t xml:space="preserve">, а на второ - </w:t>
      </w:r>
      <w:r w:rsidDel="00000000" w:rsidR="00000000" w:rsidRPr="00000000">
        <w:rPr>
          <w:color w:val="000000"/>
          <w:sz w:val="24"/>
          <w:szCs w:val="24"/>
          <w:vertAlign w:val="baseline"/>
          <w:rtl w:val="0"/>
        </w:rPr>
        <w:t xml:space="preserve">качеството на доставяните биомаси</w:t>
      </w:r>
      <w:r w:rsidDel="00000000" w:rsidR="00000000" w:rsidRPr="00000000">
        <w:rPr>
          <w:sz w:val="24"/>
          <w:szCs w:val="24"/>
          <w:vertAlign w:val="baseline"/>
          <w:rtl w:val="0"/>
        </w:rPr>
        <w:t xml:space="preserve"> - същите</w:t>
      </w:r>
      <w:r w:rsidDel="00000000" w:rsidR="00000000" w:rsidRPr="00000000">
        <w:rPr>
          <w:color w:val="000000"/>
          <w:sz w:val="24"/>
          <w:szCs w:val="24"/>
          <w:vertAlign w:val="baseline"/>
          <w:rtl w:val="0"/>
        </w:rPr>
        <w:t xml:space="preserve"> следва да са обработени по начин, който позволява директната им употреба, като при необходимост „***“ ЕООД извършва допълнителна обработка и оформяне на горивен микс. </w:t>
      </w:r>
      <w:r w:rsidDel="00000000" w:rsidR="00000000" w:rsidRPr="00000000">
        <w:rPr>
          <w:sz w:val="24"/>
          <w:szCs w:val="24"/>
          <w:vertAlign w:val="baseline"/>
          <w:rtl w:val="0"/>
        </w:rPr>
        <w:t xml:space="preserve">Посочено е, че с</w:t>
      </w:r>
      <w:r w:rsidDel="00000000" w:rsidR="00000000" w:rsidRPr="00000000">
        <w:rPr>
          <w:color w:val="000000"/>
          <w:sz w:val="24"/>
          <w:szCs w:val="24"/>
          <w:vertAlign w:val="baseline"/>
          <w:rtl w:val="0"/>
        </w:rPr>
        <w:t xml:space="preserve">ледва да се има предвид, че дейността по производство на електроенергия обикновено се осъществява при непрекъснат цикъл, поради което надеждността и непрекъсваемостта на доставките е от първостепенно значение. </w:t>
      </w:r>
    </w:p>
    <w:p w:rsidR="00000000" w:rsidDel="00000000" w:rsidP="00000000" w:rsidRDefault="00000000" w:rsidRPr="00000000" w14:paraId="00000034">
      <w:pPr>
        <w:ind w:firstLine="720"/>
        <w:jc w:val="both"/>
        <w:rPr>
          <w:color w:val="000000"/>
          <w:sz w:val="24"/>
          <w:szCs w:val="24"/>
          <w:vertAlign w:val="baseline"/>
        </w:rPr>
      </w:pPr>
      <w:r w:rsidDel="00000000" w:rsidR="00000000" w:rsidRPr="00000000">
        <w:rPr>
          <w:color w:val="000000"/>
          <w:sz w:val="24"/>
          <w:szCs w:val="24"/>
          <w:vertAlign w:val="baseline"/>
          <w:rtl w:val="0"/>
        </w:rPr>
        <w:t xml:space="preserve">В писмото се уточнява, че съгласно издаденото на „ТЕЦ ***“ АД Комплексно разрешително №41-Н1/2012 г., актуализирано с Решение №41-Н1-ИО-А1/2016 г. на Изпълнителна агенция по опазване на околната среда (ИАОС), Операторът за производствената си дейност употребява: Горивна инсталация с номинална топлинна мощност над 50 МW: - котел ОР-380в , за която използва гориво – въглища и биомаса,  както и котли ПКМ-12, за които използва като гориво природен газ. „Биомасата“ е гориво, отговарящо на определението, съгласно §1, т.1 от Допълнителните разпоредби (ДР) на Закона за управление на отпадъците и §1, т.12 от ДР на Наредба за норми за допустими емисии на серен диоксид, азотни оксиди и прах, изпускани в атмосферата от големи горивни инсталации. Именно с оглед изпълнение на тези разпоредби на Оператора – „ТЕЦ ***“ АД, при експлоатацията на горивната инсталация с номинална топлинна мощност над 50 МW: - котел ОР-380в, е разрешена употребата на гориво – биомаса за съвместно изгаряне с въглища. В тази връзка Операторът - „ТЕЦ ***“ АД използва като гориво биомаси, които се формират като отпаден продукт при извършване на дейности в селското и горското стопанство /като не става дума за отпадъци по смисъла на ЗУО/, основно слама от житни растения, дървесни кори, дървесен чипс, стърготини, талаш, пелети и др. За ползването на тези видове горива важно условие е доставените биомаси да са дребнокъсови и/или да се поддават на лесно шредиране, тъй като типа на използваните котли е с „циклонно” горене и горивото се подава в прахообразна форма. Именно такива продукти са били доставяни от „***“ ООД на „***“ ЕООД в посочения период, както и от множество други дружества, видно от представени по преписката счетоводни извадки за закупени материали от основни доставчици за 2021, 2022 и 2023 г., като: „***“ ЕООД, „***“ ЕООД, „***“ ЕООД, „***“ ЕООД, ЕТ “***“, „***“ ЕООД, „***“ ООД, „***“ ЕООД“, „***“ ЕООД и мн. др.</w:t>
      </w:r>
    </w:p>
    <w:p w:rsidR="00000000" w:rsidDel="00000000" w:rsidP="00000000" w:rsidRDefault="00000000" w:rsidRPr="00000000" w14:paraId="00000035">
      <w:pPr>
        <w:ind w:firstLine="720"/>
        <w:jc w:val="both"/>
        <w:rPr>
          <w:color w:val="000000"/>
          <w:sz w:val="24"/>
          <w:szCs w:val="24"/>
          <w:vertAlign w:val="baseline"/>
        </w:rPr>
      </w:pPr>
      <w:r w:rsidDel="00000000" w:rsidR="00000000" w:rsidRPr="00000000">
        <w:rPr>
          <w:sz w:val="24"/>
          <w:szCs w:val="24"/>
          <w:vertAlign w:val="baseline"/>
          <w:rtl w:val="0"/>
        </w:rPr>
        <w:t xml:space="preserve">От събраните по преписката доказателства се установява, че на 12.01.2023 г. в качеството на водещ съвносител, в група с други 18 народни представители, Делян Добрев е внесъл в 48-то Народно събрание проект на Решение, с което се задължава Министерският съвет да промени Плана за възстановяване и устойчивост в част енергетика (Решение/то), вх. №48-354-02-21/12.01.2023 г. на НС. С Решението </w:t>
      </w:r>
      <w:r w:rsidDel="00000000" w:rsidR="00000000" w:rsidRPr="00000000">
        <w:rPr>
          <w:color w:val="000000"/>
          <w:sz w:val="24"/>
          <w:szCs w:val="24"/>
          <w:vertAlign w:val="baseline"/>
          <w:rtl w:val="0"/>
        </w:rPr>
        <w:t xml:space="preserve">Народното събрание задължава Министерския съвет, чрез заместник министър-председателя по управление на европейските средства и министъра на енергетиката в срок до 31 март 2023 г. да предприеме всички необходими действия и да отправи обосновано искане до Европейската комисия, като направи предложение за изменение на Плана за възстановяване и устойчивост на Република България и да постигне съгласие и предварителна положителна оценка от Европейската комисия относно изменение на Плана в следните раздели: </w:t>
      </w:r>
    </w:p>
    <w:p w:rsidR="00000000" w:rsidDel="00000000" w:rsidP="00000000" w:rsidRDefault="00000000" w:rsidRPr="00000000" w14:paraId="00000036">
      <w:pPr>
        <w:ind w:firstLine="720"/>
        <w:jc w:val="both"/>
        <w:rPr>
          <w:color w:val="000000"/>
          <w:sz w:val="24"/>
          <w:szCs w:val="24"/>
          <w:vertAlign w:val="baseline"/>
        </w:rPr>
      </w:pPr>
      <w:r w:rsidDel="00000000" w:rsidR="00000000" w:rsidRPr="00000000">
        <w:rPr>
          <w:color w:val="000000"/>
          <w:sz w:val="24"/>
          <w:szCs w:val="24"/>
          <w:vertAlign w:val="baseline"/>
          <w:rtl w:val="0"/>
        </w:rPr>
        <w:t xml:space="preserve">В раздел 2.Б. „Зелена България“, 2.Б.1. Нисковъглеродна икономика, Реформа 10 „Декарбонизация на енергийния сектор“ да отпадне поетия ангажимент за намаляване на въглеродните емисии от производство на електроенергия с 40 % до края на 2025 г., като се осигури работа на централите на въглища без ограничение поне до 2038 г.; да отпаднат всички текстове, свързани с поетия ангажимент за намаляване на въглеродните емисии от производство на ел. енергия с 40 % до края на 2025 г., вземайки изходните нива от 2019 г. и във връзка с преговорите, МС да договори максимално добри условия за Република България в сектор „Енергетика“.</w:t>
      </w:r>
    </w:p>
    <w:p w:rsidR="00000000" w:rsidDel="00000000" w:rsidP="00000000" w:rsidRDefault="00000000" w:rsidRPr="00000000" w14:paraId="00000037">
      <w:pPr>
        <w:ind w:firstLine="283"/>
        <w:jc w:val="both"/>
        <w:rPr>
          <w:color w:val="212529"/>
          <w:sz w:val="24"/>
          <w:szCs w:val="24"/>
          <w:vertAlign w:val="baseline"/>
        </w:rPr>
      </w:pPr>
      <w:r w:rsidDel="00000000" w:rsidR="00000000" w:rsidRPr="00000000">
        <w:rPr>
          <w:color w:val="000000"/>
          <w:sz w:val="24"/>
          <w:szCs w:val="24"/>
          <w:vertAlign w:val="baseline"/>
          <w:rtl w:val="0"/>
        </w:rPr>
        <w:tab/>
        <w:t xml:space="preserve">В раздел 2.Б. „Зелена България“, 2.Б.1. Нисковъглеродна икономика, Реформа 10, Инвестиция 8: Национална инфраструктура за съхранение на електрическа енергия от ВЕИ /RESTORE/), да се преработи в грантова схема за батерии за физически и юридически лица с интензитет на помощта; развитие на електропреносната и електроразпределителните мрежи.</w:t>
      </w:r>
      <w:r w:rsidDel="00000000" w:rsidR="00000000" w:rsidRPr="00000000">
        <w:rPr>
          <w:color w:val="212529"/>
          <w:sz w:val="24"/>
          <w:szCs w:val="24"/>
          <w:vertAlign w:val="baseline"/>
          <w:rtl w:val="0"/>
        </w:rPr>
        <w:t xml:space="preserve"> </w:t>
      </w:r>
    </w:p>
    <w:p w:rsidR="00000000" w:rsidDel="00000000" w:rsidP="00000000" w:rsidRDefault="00000000" w:rsidRPr="00000000" w14:paraId="00000038">
      <w:pPr>
        <w:ind w:firstLine="283"/>
        <w:jc w:val="both"/>
        <w:rPr>
          <w:color w:val="000000"/>
          <w:sz w:val="24"/>
          <w:szCs w:val="24"/>
          <w:vertAlign w:val="baseline"/>
        </w:rPr>
      </w:pPr>
      <w:r w:rsidDel="00000000" w:rsidR="00000000" w:rsidRPr="00000000">
        <w:rPr>
          <w:color w:val="212529"/>
          <w:sz w:val="24"/>
          <w:szCs w:val="24"/>
          <w:vertAlign w:val="baseline"/>
          <w:rtl w:val="0"/>
        </w:rPr>
        <w:tab/>
      </w:r>
      <w:r w:rsidDel="00000000" w:rsidR="00000000" w:rsidRPr="00000000">
        <w:rPr>
          <w:color w:val="000000"/>
          <w:sz w:val="24"/>
          <w:szCs w:val="24"/>
          <w:vertAlign w:val="baseline"/>
          <w:rtl w:val="0"/>
        </w:rPr>
        <w:t xml:space="preserve">В раздел 2.Б. „Зелена България“, 2.Б.1. Нисковъглеродна икономика, Реформа 10, </w:t>
      </w:r>
      <w:r w:rsidDel="00000000" w:rsidR="00000000" w:rsidRPr="00000000">
        <w:rPr>
          <w:color w:val="212529"/>
          <w:sz w:val="24"/>
          <w:szCs w:val="24"/>
          <w:vertAlign w:val="baseline"/>
          <w:rtl w:val="0"/>
        </w:rPr>
        <w:t xml:space="preserve">Инвестиция </w:t>
      </w:r>
      <w:r w:rsidDel="00000000" w:rsidR="00000000" w:rsidRPr="00000000">
        <w:rPr>
          <w:color w:val="000000"/>
          <w:sz w:val="24"/>
          <w:szCs w:val="24"/>
          <w:vertAlign w:val="baseline"/>
          <w:rtl w:val="0"/>
        </w:rPr>
        <w:t xml:space="preserve">7:  Развитие на използването на геотермална енергия в България за производство на електрическа и топлинна енергия, 50 % от сумата да се пренасочи в раздел 2.Б. „Зелена България“, 2.Б.1. Нисковъглеродна икономика, Инвестиция 1: Енергийна ефективност в сграден фонд – за многофамилни жилищни сгради, а останалата сума да се преформулира като грантова схема за физически и юридически лица с интензитет на помощта 50 %.</w:t>
      </w:r>
    </w:p>
    <w:p w:rsidR="00000000" w:rsidDel="00000000" w:rsidP="00000000" w:rsidRDefault="00000000" w:rsidRPr="00000000" w14:paraId="00000039">
      <w:pPr>
        <w:ind w:firstLine="283"/>
        <w:jc w:val="both"/>
        <w:rPr>
          <w:color w:val="212529"/>
          <w:sz w:val="24"/>
          <w:szCs w:val="24"/>
          <w:vertAlign w:val="baseline"/>
        </w:rPr>
      </w:pPr>
      <w:r w:rsidDel="00000000" w:rsidR="00000000" w:rsidRPr="00000000">
        <w:rPr>
          <w:color w:val="000000"/>
          <w:sz w:val="24"/>
          <w:szCs w:val="24"/>
          <w:vertAlign w:val="baseline"/>
          <w:rtl w:val="0"/>
        </w:rPr>
        <w:tab/>
        <w:t xml:space="preserve">Възлага на Министерския съвет чрез заместник министър-председателя по управление на европейските средства, чрез Централно координационно звено и в съответствие с чл. 21 на Регламент 2021/241 да осигури пренасочване на всички текущо спестени средства при изпълнение на проектите от Националния план за възстановяване и устойчивост, включително при тяхно приключване и/или прекратяване към „Зелена България“, компонент 4. Нисковъглеродна икономика, Проект „Подкрепа за устойчиво енергийно обновяване на жилищния сграден фонд“.</w:t>
      </w:r>
      <w:r w:rsidDel="00000000" w:rsidR="00000000" w:rsidRPr="00000000">
        <w:rPr>
          <w:rtl w:val="0"/>
        </w:rPr>
      </w:r>
    </w:p>
    <w:p w:rsidR="00000000" w:rsidDel="00000000" w:rsidP="00000000" w:rsidRDefault="00000000" w:rsidRPr="00000000" w14:paraId="0000003A">
      <w:pPr>
        <w:ind w:firstLine="283"/>
        <w:jc w:val="both"/>
        <w:rPr>
          <w:color w:val="212529"/>
          <w:sz w:val="24"/>
          <w:szCs w:val="24"/>
          <w:vertAlign w:val="baseline"/>
        </w:rPr>
      </w:pPr>
      <w:r w:rsidDel="00000000" w:rsidR="00000000" w:rsidRPr="00000000">
        <w:rPr>
          <w:color w:val="000000"/>
          <w:sz w:val="24"/>
          <w:szCs w:val="24"/>
          <w:vertAlign w:val="baseline"/>
          <w:rtl w:val="0"/>
        </w:rPr>
        <w:tab/>
        <w:t xml:space="preserve">Възлага на Структурата за наблюдение и докладване по Националния план за възстановяване и устойчивост в Министерството на регионалното развитие и благоустройството да преразгледа за следващи приеми по компонент Нисковъглеродна икономика, Проект „Подкрепа за устойчиво енергийно обновяване на жилищния сграден фонд“, както следва:</w:t>
      </w:r>
      <w:r w:rsidDel="00000000" w:rsidR="00000000" w:rsidRPr="00000000">
        <w:rPr>
          <w:rtl w:val="0"/>
        </w:rPr>
      </w:r>
    </w:p>
    <w:p w:rsidR="00000000" w:rsidDel="00000000" w:rsidP="00000000" w:rsidRDefault="00000000" w:rsidRPr="00000000" w14:paraId="0000003B">
      <w:pPr>
        <w:ind w:firstLine="283"/>
        <w:jc w:val="both"/>
        <w:rPr>
          <w:color w:val="212529"/>
          <w:sz w:val="24"/>
          <w:szCs w:val="24"/>
          <w:vertAlign w:val="baseline"/>
        </w:rPr>
      </w:pPr>
      <w:r w:rsidDel="00000000" w:rsidR="00000000" w:rsidRPr="00000000">
        <w:rPr>
          <w:color w:val="000000"/>
          <w:sz w:val="24"/>
          <w:szCs w:val="24"/>
          <w:vertAlign w:val="baseline"/>
          <w:rtl w:val="0"/>
        </w:rPr>
        <w:t xml:space="preserve">– бюджетните лимити на териториално ниво (общини) с оглед осигуряване провеждането на балансирана регионална политика;</w:t>
      </w:r>
      <w:r w:rsidDel="00000000" w:rsidR="00000000" w:rsidRPr="00000000">
        <w:rPr>
          <w:rtl w:val="0"/>
        </w:rPr>
      </w:r>
    </w:p>
    <w:p w:rsidR="00000000" w:rsidDel="00000000" w:rsidP="00000000" w:rsidRDefault="00000000" w:rsidRPr="00000000" w14:paraId="0000003C">
      <w:pPr>
        <w:ind w:firstLine="283"/>
        <w:jc w:val="both"/>
        <w:rPr>
          <w:color w:val="212529"/>
          <w:sz w:val="24"/>
          <w:szCs w:val="24"/>
          <w:vertAlign w:val="baseline"/>
        </w:rPr>
      </w:pPr>
      <w:r w:rsidDel="00000000" w:rsidR="00000000" w:rsidRPr="00000000">
        <w:rPr>
          <w:color w:val="000000"/>
          <w:sz w:val="24"/>
          <w:szCs w:val="24"/>
          <w:vertAlign w:val="baseline"/>
          <w:rtl w:val="0"/>
        </w:rPr>
        <w:t xml:space="preserve">–  допустимостта на еднофамилните жилищни сгради;</w:t>
      </w:r>
      <w:r w:rsidDel="00000000" w:rsidR="00000000" w:rsidRPr="00000000">
        <w:rPr>
          <w:rtl w:val="0"/>
        </w:rPr>
      </w:r>
    </w:p>
    <w:p w:rsidR="00000000" w:rsidDel="00000000" w:rsidP="00000000" w:rsidRDefault="00000000" w:rsidRPr="00000000" w14:paraId="0000003D">
      <w:pPr>
        <w:ind w:firstLine="283"/>
        <w:jc w:val="both"/>
        <w:rPr>
          <w:color w:val="212529"/>
          <w:sz w:val="24"/>
          <w:szCs w:val="24"/>
          <w:vertAlign w:val="baseline"/>
        </w:rPr>
      </w:pPr>
      <w:r w:rsidDel="00000000" w:rsidR="00000000" w:rsidRPr="00000000">
        <w:rPr>
          <w:color w:val="000000"/>
          <w:sz w:val="24"/>
          <w:szCs w:val="24"/>
          <w:vertAlign w:val="baseline"/>
          <w:rtl w:val="0"/>
        </w:rPr>
        <w:t xml:space="preserve">– самоучастието на крайните бенефициенти, включително предвид предстояща реформа, дефиниция и критерии за „енергийна бедност“ за домакинствата в Закона за енергетиката.</w:t>
      </w:r>
      <w:r w:rsidDel="00000000" w:rsidR="00000000" w:rsidRPr="00000000">
        <w:rPr>
          <w:rtl w:val="0"/>
        </w:rPr>
      </w:r>
    </w:p>
    <w:p w:rsidR="00000000" w:rsidDel="00000000" w:rsidP="00000000" w:rsidRDefault="00000000" w:rsidRPr="00000000" w14:paraId="0000003E">
      <w:pPr>
        <w:ind w:firstLine="283"/>
        <w:jc w:val="both"/>
        <w:rPr>
          <w:color w:val="212529"/>
          <w:sz w:val="24"/>
          <w:szCs w:val="24"/>
          <w:vertAlign w:val="baseline"/>
        </w:rPr>
      </w:pPr>
      <w:r w:rsidDel="00000000" w:rsidR="00000000" w:rsidRPr="00000000">
        <w:rPr>
          <w:color w:val="000000"/>
          <w:sz w:val="24"/>
          <w:szCs w:val="24"/>
          <w:vertAlign w:val="baseline"/>
          <w:rtl w:val="0"/>
        </w:rPr>
        <w:tab/>
        <w:t xml:space="preserve">Предлага и да отпадне Реформа 11 „Подобряване на корпоративното управление на държавните компании в енергийния сектор“, свързана с отделянето на собствеността на двата оператора („Булгартрансгаз“ -  ЕАД, и ЕСО – ЕАД) от корпоративната структура на „БЕХ“ – ЕАД,.</w:t>
      </w:r>
      <w:r w:rsidDel="00000000" w:rsidR="00000000" w:rsidRPr="00000000">
        <w:rPr>
          <w:rtl w:val="0"/>
        </w:rPr>
      </w:r>
    </w:p>
    <w:p w:rsidR="00000000" w:rsidDel="00000000" w:rsidP="00000000" w:rsidRDefault="00000000" w:rsidRPr="00000000" w14:paraId="0000003F">
      <w:pPr>
        <w:ind w:firstLine="283"/>
        <w:jc w:val="both"/>
        <w:rPr>
          <w:color w:val="000000"/>
          <w:sz w:val="24"/>
          <w:szCs w:val="24"/>
          <w:vertAlign w:val="baseline"/>
        </w:rPr>
      </w:pPr>
      <w:r w:rsidDel="00000000" w:rsidR="00000000" w:rsidRPr="00000000">
        <w:rPr>
          <w:color w:val="000000"/>
          <w:sz w:val="24"/>
          <w:szCs w:val="24"/>
          <w:vertAlign w:val="baseline"/>
          <w:rtl w:val="0"/>
        </w:rPr>
        <w:tab/>
        <w:t xml:space="preserve">С Разпореждане на Председателя на Народното събрание №48-350-01-32/12.01.2023 г. проектът на Решение с вх. №48-354-02-21, внесен от Делян *** Добрев и група народни представители на 12.01.2023 г. е разпределен на следните постоянни комисии: Комисия по енергетика, Комисия по въпросите на Европейския съюз и на Комисия по околната среда и водите.</w:t>
      </w:r>
    </w:p>
    <w:p w:rsidR="00000000" w:rsidDel="00000000" w:rsidP="00000000" w:rsidRDefault="00000000" w:rsidRPr="00000000" w14:paraId="00000040">
      <w:pPr>
        <w:ind w:firstLine="283"/>
        <w:jc w:val="both"/>
        <w:rPr>
          <w:color w:val="000000"/>
          <w:sz w:val="24"/>
          <w:szCs w:val="24"/>
          <w:vertAlign w:val="baseline"/>
        </w:rPr>
      </w:pPr>
      <w:r w:rsidDel="00000000" w:rsidR="00000000" w:rsidRPr="00000000">
        <w:rPr>
          <w:color w:val="000000"/>
          <w:sz w:val="24"/>
          <w:szCs w:val="24"/>
          <w:vertAlign w:val="baseline"/>
          <w:rtl w:val="0"/>
        </w:rPr>
        <w:tab/>
        <w:t xml:space="preserve">На 12.01.2023 г. в 8.30 ч., Комисията по енергетика е провела извънредно заседание с единствена точка в дневния ред: Гласуване на проект на Решение да задължи Министерския съвет да промени Националния план за възстановяване и устойчивост в част „Енергетика“, №48-354-02-21, внесен на 12.01.2023 г. от Делян Добрев и група народни представители. Като председател на Комисията по енергетика Делян Добрев е запознал останалите членове на комисията с проекта на Решение, предложен за гласуване. Гласуването е извършено на части, като всички части са приети поотделно, а накрая цялото решение е прието и в цялост от всички присъствали на заседанието 17 народни представители - със 17 гласа „за“, без „против“ и „въздържали се“. </w:t>
      </w:r>
    </w:p>
    <w:p w:rsidR="00000000" w:rsidDel="00000000" w:rsidP="00000000" w:rsidRDefault="00000000" w:rsidRPr="00000000" w14:paraId="00000041">
      <w:pPr>
        <w:ind w:firstLine="283"/>
        <w:jc w:val="both"/>
        <w:rPr>
          <w:color w:val="000000"/>
          <w:sz w:val="24"/>
          <w:szCs w:val="24"/>
          <w:vertAlign w:val="baseline"/>
        </w:rPr>
      </w:pPr>
      <w:r w:rsidDel="00000000" w:rsidR="00000000" w:rsidRPr="00000000">
        <w:rPr>
          <w:color w:val="000000"/>
          <w:sz w:val="24"/>
          <w:szCs w:val="24"/>
          <w:vertAlign w:val="baseline"/>
          <w:rtl w:val="0"/>
        </w:rPr>
        <w:tab/>
        <w:t xml:space="preserve">В същия ден - на 12.01.2023 г., Комисията по енергетика е внесла за гласуване от 48-то Народно събрание по-рано гласувания и приет от нея Проект на Решение да задължи Министерския съвет да промени Националния план за възстановяване и устойчивост в част „Енергетика“, №48-354-02-21. По предложение на председателя на Комисията по енергетика- Делян Добрев от разглеждане отпадат двата внесени проекта на решения от ПП „Възраждане“ и ПП „ГЕРБ-СДС“ и на гласуване се подлага приетия от Комисията по енергетика проект на решение. Като председател на Комисията по енергетика Делян Добрев предлага на народните представители отделните текстове на Решението за гласуване. Гласуването на всеки текст е съпроводено от дебати, от които става ясно, че по-голямата част от народните представители и парламентарните групи изразяват задоволство от постигнатия синхрон при приемане на решението в Комисията по енергетика и считат същото за навременно и необходимо с оглед запазването на въглищните централи в Маришкия басейн – съществена част от енергийната система на България. След проведените дебати и гласуване на отделните текстове, Решението е гласувано и в цялост и е </w:t>
      </w:r>
      <w:r w:rsidDel="00000000" w:rsidR="00000000" w:rsidRPr="00000000">
        <w:rPr>
          <w:b w:val="1"/>
          <w:bCs w:val="1"/>
          <w:color w:val="000000"/>
          <w:sz w:val="24"/>
          <w:szCs w:val="24"/>
          <w:vertAlign w:val="baseline"/>
          <w:rtl w:val="0"/>
        </w:rPr>
        <w:t xml:space="preserve">прието със 175 гласа „за“, 2 гласа „против“ и 7 гласа „въздържал се“,</w:t>
      </w:r>
      <w:r w:rsidDel="00000000" w:rsidR="00000000" w:rsidRPr="00000000">
        <w:rPr>
          <w:color w:val="000000"/>
          <w:sz w:val="24"/>
          <w:szCs w:val="24"/>
          <w:vertAlign w:val="baseline"/>
          <w:rtl w:val="0"/>
        </w:rPr>
        <w:t xml:space="preserve"> при 184 участвали в гласуването народни представители.</w:t>
      </w:r>
    </w:p>
    <w:p w:rsidR="00000000" w:rsidDel="00000000" w:rsidP="00000000" w:rsidRDefault="00000000" w:rsidRPr="00000000" w14:paraId="00000042">
      <w:pPr>
        <w:ind w:firstLine="283"/>
        <w:jc w:val="both"/>
        <w:rPr>
          <w:sz w:val="24"/>
          <w:szCs w:val="24"/>
          <w:vertAlign w:val="baseline"/>
        </w:rPr>
      </w:pPr>
      <w:r w:rsidDel="00000000" w:rsidR="00000000" w:rsidRPr="00000000">
        <w:rPr>
          <w:color w:val="000000"/>
          <w:sz w:val="24"/>
          <w:szCs w:val="24"/>
          <w:vertAlign w:val="baseline"/>
          <w:rtl w:val="0"/>
        </w:rPr>
        <w:t xml:space="preserve">Народният представител Делян Добрев по време на проведеното на 12.01.2023 г. заседание на 48-то Народно събрание е участвал във всички 11 гласувания (от 8-мо до 18-то включително), свързани с приемането на Решението да се задължи Министерския съвет да промени Националния план за възстановяване и устойчивост в част „Енергетика“, като при всички тях е гласувал „за“.</w:t>
      </w:r>
      <w:r w:rsidDel="00000000" w:rsidR="00000000" w:rsidRPr="00000000">
        <w:rPr>
          <w:rtl w:val="0"/>
        </w:rPr>
      </w:r>
    </w:p>
    <w:p w:rsidR="00000000" w:rsidDel="00000000" w:rsidP="00000000" w:rsidRDefault="00000000" w:rsidRPr="00000000" w14:paraId="00000043">
      <w:pPr>
        <w:ind w:firstLine="567"/>
        <w:jc w:val="both"/>
        <w:rPr>
          <w:b w:val="0"/>
          <w:bCs w:val="0"/>
          <w:i w:val="0"/>
          <w:iCs w:val="0"/>
          <w:sz w:val="24"/>
          <w:szCs w:val="24"/>
          <w:vertAlign w:val="baseline"/>
        </w:rPr>
      </w:pPr>
      <w:r w:rsidDel="00000000" w:rsidR="00000000" w:rsidRPr="00000000">
        <w:rPr>
          <w:rtl w:val="0"/>
        </w:rPr>
      </w:r>
    </w:p>
    <w:p w:rsidR="00000000" w:rsidDel="00000000" w:rsidP="00000000" w:rsidRDefault="00000000" w:rsidRPr="00000000" w14:paraId="00000044">
      <w:pPr>
        <w:ind w:firstLine="567"/>
        <w:jc w:val="both"/>
        <w:rPr>
          <w:b w:val="0"/>
          <w:bCs w:val="0"/>
          <w:sz w:val="24"/>
          <w:szCs w:val="24"/>
          <w:vertAlign w:val="baseline"/>
        </w:rPr>
      </w:pPr>
      <w:r w:rsidDel="00000000" w:rsidR="00000000" w:rsidRPr="00000000">
        <w:rPr>
          <w:b w:val="1"/>
          <w:bCs w:val="1"/>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45">
      <w:pPr>
        <w:ind w:left="-284" w:right="-284" w:firstLine="708"/>
        <w:jc w:val="both"/>
        <w:rPr>
          <w:sz w:val="24"/>
          <w:szCs w:val="24"/>
          <w:vertAlign w:val="baseline"/>
        </w:rPr>
      </w:pPr>
      <w:r w:rsidDel="00000000" w:rsidR="00000000" w:rsidRPr="00000000">
        <w:rPr>
          <w:rtl w:val="0"/>
        </w:rPr>
      </w:r>
    </w:p>
    <w:p w:rsidR="00000000" w:rsidDel="00000000" w:rsidP="00000000" w:rsidRDefault="00000000" w:rsidRPr="00000000" w14:paraId="00000046">
      <w:pPr>
        <w:ind w:firstLine="709"/>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52 от ЗПКОНПИ (отм.), респективно чл. 70 от Закона за противодействие на корупцията (ЗПК), обнародван в ДВ, бр.86 от 06.10.2023 г. и в сила от същата дата, трябва да са налице три кумулативни предпоставки: лице, заемащо висша публична длъжност, респективно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47">
      <w:pPr>
        <w:ind w:firstLine="709"/>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53 и чл. 54 от ЗПКОНПИ (отм.), съответно в чл. 71 и чл. 72 от ЗПК. Частен интерес е всеки интерес, който води до облага от материален или нематериален характер за лицето, заемащо висша публична длъжност/ респективно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парични средства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w:t>
      </w:r>
    </w:p>
    <w:p w:rsidR="00000000" w:rsidDel="00000000" w:rsidP="00000000" w:rsidRDefault="00000000" w:rsidRPr="00000000" w14:paraId="00000048">
      <w:pPr>
        <w:ind w:firstLine="709"/>
        <w:jc w:val="both"/>
        <w:rPr>
          <w:sz w:val="24"/>
          <w:szCs w:val="24"/>
          <w:vertAlign w:val="baseline"/>
        </w:rPr>
      </w:pPr>
      <w:r w:rsidDel="00000000" w:rsidR="00000000" w:rsidRPr="00000000">
        <w:rPr>
          <w:color w:val="212529"/>
          <w:sz w:val="24"/>
          <w:szCs w:val="24"/>
          <w:vertAlign w:val="baseline"/>
          <w:rtl w:val="0"/>
        </w:rPr>
        <w:t xml:space="preserve">Съгласно чл.1 от Конституцията на Република България (КРБ), </w:t>
      </w:r>
      <w:r w:rsidDel="00000000" w:rsidR="00000000" w:rsidRPr="00000000">
        <w:rPr>
          <w:color w:val="212529"/>
          <w:sz w:val="24"/>
          <w:szCs w:val="24"/>
          <w:highlight w:val="white"/>
          <w:vertAlign w:val="baseline"/>
          <w:rtl w:val="0"/>
        </w:rPr>
        <w:t xml:space="preserve">България е република с парламентарно управление. </w:t>
      </w:r>
      <w:r w:rsidDel="00000000" w:rsidR="00000000" w:rsidRPr="00000000">
        <w:rPr>
          <w:color w:val="212529"/>
          <w:sz w:val="24"/>
          <w:szCs w:val="24"/>
          <w:vertAlign w:val="baseline"/>
          <w:rtl w:val="0"/>
        </w:rPr>
        <w:t xml:space="preserve">Видно от разпоредбата на чл. 62, ал.1 от КРБ Народното събрание осъществява законодателната власт и упражнява парламентарен контрол. </w:t>
      </w:r>
      <w:r w:rsidDel="00000000" w:rsidR="00000000" w:rsidRPr="00000000">
        <w:rPr>
          <w:color w:val="212529"/>
          <w:sz w:val="24"/>
          <w:szCs w:val="24"/>
          <w:highlight w:val="white"/>
          <w:vertAlign w:val="baseline"/>
          <w:rtl w:val="0"/>
        </w:rPr>
        <w:t xml:space="preserve">Народното събрание избира от своя състав постоянни и временни комисии, като постоянните комисии подпомагат дейността на Народното събрание и упражняват от негово име парламентарен контрол., а</w:t>
      </w:r>
      <w:r w:rsidDel="00000000" w:rsidR="00000000" w:rsidRPr="00000000">
        <w:rPr>
          <w:color w:val="212529"/>
          <w:sz w:val="24"/>
          <w:szCs w:val="24"/>
          <w:vertAlign w:val="baseline"/>
          <w:rtl w:val="0"/>
        </w:rPr>
        <w:br w:type="textWrapping"/>
      </w:r>
      <w:r w:rsidDel="00000000" w:rsidR="00000000" w:rsidRPr="00000000">
        <w:rPr>
          <w:color w:val="212529"/>
          <w:sz w:val="24"/>
          <w:szCs w:val="24"/>
          <w:highlight w:val="white"/>
          <w:vertAlign w:val="baseline"/>
          <w:rtl w:val="0"/>
        </w:rPr>
        <w:t xml:space="preserve">временни комисии се избират за проучвания и анкети </w:t>
      </w:r>
      <w:r w:rsidDel="00000000" w:rsidR="00000000" w:rsidRPr="00000000">
        <w:rPr>
          <w:b w:val="1"/>
          <w:bCs w:val="1"/>
          <w:color w:val="212529"/>
          <w:sz w:val="24"/>
          <w:szCs w:val="24"/>
          <w:highlight w:val="white"/>
          <w:vertAlign w:val="baseline"/>
          <w:rtl w:val="0"/>
        </w:rPr>
        <w:t xml:space="preserve">(</w:t>
      </w:r>
      <w:r w:rsidDel="00000000" w:rsidR="00000000" w:rsidRPr="00000000">
        <w:rPr>
          <w:b w:val="0"/>
          <w:bCs w:val="0"/>
          <w:color w:val="212529"/>
          <w:sz w:val="24"/>
          <w:szCs w:val="24"/>
          <w:vertAlign w:val="baseline"/>
          <w:rtl w:val="0"/>
        </w:rPr>
        <w:t xml:space="preserve">Чл. 79).</w:t>
      </w:r>
      <w:r w:rsidDel="00000000" w:rsidR="00000000" w:rsidRPr="00000000">
        <w:rPr>
          <w:color w:val="212529"/>
          <w:sz w:val="24"/>
          <w:szCs w:val="24"/>
          <w:highlight w:val="white"/>
          <w:vertAlign w:val="baseline"/>
          <w:rtl w:val="0"/>
        </w:rPr>
        <w:t xml:space="preserve"> Народното събрание приема закони, решения, декларации и обръщения.</w:t>
      </w:r>
      <w:r w:rsidDel="00000000" w:rsidR="00000000" w:rsidRPr="00000000">
        <w:rPr>
          <w:color w:val="212529"/>
          <w:sz w:val="24"/>
          <w:szCs w:val="24"/>
          <w:vertAlign w:val="baseline"/>
          <w:rtl w:val="0"/>
        </w:rPr>
        <w:br w:type="textWrapping"/>
      </w:r>
      <w:r w:rsidDel="00000000" w:rsidR="00000000" w:rsidRPr="00000000">
        <w:rPr>
          <w:color w:val="212529"/>
          <w:sz w:val="24"/>
          <w:szCs w:val="24"/>
          <w:highlight w:val="white"/>
          <w:vertAlign w:val="baseline"/>
          <w:rtl w:val="0"/>
        </w:rPr>
        <w:t xml:space="preserve">(2) Законите и решенията на Народното събрание са задължителни за всички държавни органи, организациите и гражданите </w:t>
      </w:r>
      <w:r w:rsidDel="00000000" w:rsidR="00000000" w:rsidRPr="00000000">
        <w:rPr>
          <w:b w:val="1"/>
          <w:bCs w:val="1"/>
          <w:color w:val="212529"/>
          <w:sz w:val="24"/>
          <w:szCs w:val="24"/>
          <w:highlight w:val="white"/>
          <w:vertAlign w:val="baseline"/>
          <w:rtl w:val="0"/>
        </w:rPr>
        <w:t xml:space="preserve">(</w:t>
      </w:r>
      <w:r w:rsidDel="00000000" w:rsidR="00000000" w:rsidRPr="00000000">
        <w:rPr>
          <w:b w:val="0"/>
          <w:bCs w:val="0"/>
          <w:color w:val="212529"/>
          <w:sz w:val="24"/>
          <w:szCs w:val="24"/>
          <w:vertAlign w:val="baseline"/>
          <w:rtl w:val="0"/>
        </w:rPr>
        <w:t xml:space="preserve">Чл. 86).</w:t>
      </w:r>
      <w:r w:rsidDel="00000000" w:rsidR="00000000" w:rsidRPr="00000000">
        <w:rPr>
          <w:color w:val="212529"/>
          <w:sz w:val="24"/>
          <w:szCs w:val="24"/>
          <w:highlight w:val="white"/>
          <w:vertAlign w:val="baseline"/>
          <w:rtl w:val="0"/>
        </w:rPr>
        <w:t xml:space="preserve"> </w:t>
      </w:r>
      <w:r w:rsidDel="00000000" w:rsidR="00000000" w:rsidRPr="00000000">
        <w:rPr>
          <w:rtl w:val="0"/>
        </w:rPr>
      </w:r>
    </w:p>
    <w:p w:rsidR="00000000" w:rsidDel="00000000" w:rsidP="00000000" w:rsidRDefault="00000000" w:rsidRPr="00000000" w14:paraId="00000049">
      <w:pPr>
        <w:ind w:firstLine="709"/>
        <w:jc w:val="both"/>
        <w:rPr>
          <w:sz w:val="24"/>
          <w:szCs w:val="24"/>
          <w:vertAlign w:val="baseline"/>
        </w:rPr>
      </w:pPr>
      <w:r w:rsidDel="00000000" w:rsidR="00000000" w:rsidRPr="00000000">
        <w:rPr>
          <w:color w:val="212529"/>
          <w:sz w:val="24"/>
          <w:szCs w:val="24"/>
          <w:highlight w:val="white"/>
          <w:vertAlign w:val="baseline"/>
          <w:rtl w:val="0"/>
        </w:rPr>
        <w:t xml:space="preserve">Народното събрание организира и осъществява дейността си въз основа на Конституцията и съгласно разпоредбите на Правилника за организацията и дейността на  Народното събрание – ПОДНС. Според чл.128 от същия, всеки </w:t>
      </w:r>
      <w:r w:rsidDel="00000000" w:rsidR="00000000" w:rsidRPr="00000000">
        <w:rPr>
          <w:color w:val="212529"/>
          <w:sz w:val="24"/>
          <w:szCs w:val="24"/>
          <w:vertAlign w:val="baseline"/>
          <w:rtl w:val="0"/>
        </w:rPr>
        <w:t xml:space="preserve">народен представител може да бъде избиран в органите на Народното събрание. Той е задължен да участва в тяхната работа.</w:t>
      </w:r>
      <w:r w:rsidDel="00000000" w:rsidR="00000000" w:rsidRPr="00000000">
        <w:rPr>
          <w:color w:val="212529"/>
          <w:sz w:val="24"/>
          <w:szCs w:val="24"/>
          <w:highlight w:val="white"/>
          <w:vertAlign w:val="baseline"/>
          <w:rtl w:val="0"/>
        </w:rPr>
        <w:t xml:space="preserve"> Народният представител е длъжен да присъства на заседанията на Народното събрание и на комисиите, в които е избран (чл.134, ал.1). </w:t>
      </w:r>
      <w:r w:rsidDel="00000000" w:rsidR="00000000" w:rsidRPr="00000000">
        <w:rPr>
          <w:rtl w:val="0"/>
        </w:rPr>
      </w:r>
    </w:p>
    <w:p w:rsidR="00000000" w:rsidDel="00000000" w:rsidP="00000000" w:rsidRDefault="00000000" w:rsidRPr="00000000" w14:paraId="0000004A">
      <w:pPr>
        <w:ind w:firstLine="708"/>
        <w:jc w:val="both"/>
        <w:rPr>
          <w:sz w:val="24"/>
          <w:szCs w:val="24"/>
          <w:vertAlign w:val="baseline"/>
        </w:rPr>
      </w:pPr>
      <w:r w:rsidDel="00000000" w:rsidR="00000000" w:rsidRPr="00000000">
        <w:rPr>
          <w:sz w:val="24"/>
          <w:szCs w:val="24"/>
          <w:vertAlign w:val="baseline"/>
          <w:rtl w:val="0"/>
        </w:rPr>
        <w:t xml:space="preserve">В качеството му на народен представител в 48-то Народно събрание (02.10.2022 г. – 03.02.2023 г.) </w:t>
      </w:r>
      <w:r w:rsidDel="00000000" w:rsidR="00000000" w:rsidRPr="00000000">
        <w:rPr>
          <w:b w:val="1"/>
          <w:bCs w:val="1"/>
          <w:sz w:val="24"/>
          <w:szCs w:val="24"/>
          <w:vertAlign w:val="baseline"/>
          <w:rtl w:val="0"/>
        </w:rPr>
        <w:t xml:space="preserve">Делян *** Добрев е лице, заемащо висша публична длъжност по чл.6, ал.1, т. 2 от ЗПКОНПИ (отм.), съответно лице, заемащо публична длъжност по чл.6, ал.1, т.2 от ЗПК</w:t>
      </w:r>
      <w:r w:rsidDel="00000000" w:rsidR="00000000" w:rsidRPr="00000000">
        <w:rPr>
          <w:sz w:val="24"/>
          <w:szCs w:val="24"/>
          <w:vertAlign w:val="baseline"/>
          <w:rtl w:val="0"/>
        </w:rPr>
        <w:t xml:space="preserve"> и компетентна да се произнесе относно наличието или липсата на конфликт на интереси по отношение на него е КПК.</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56" w:before="0" w:line="240" w:lineRule="auto"/>
        <w:ind w:left="20" w:right="20" w:firstLine="547"/>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Определящо за установяването на конфликт на интереси е наличието на упражнено правомощие по служба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лицето, заемащо публична длъжност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в частен интерес - личен или на свързано лице</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по смисъла на § 1, т. 15 от ДР на ЗПКОНПИ, съответно §1, т.9 от ДР на ЗПК,</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висша публична длъжност. </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56" w:before="0" w:line="240" w:lineRule="auto"/>
        <w:ind w:left="20" w:right="20" w:firstLine="54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Установеното от справка в НБД „Население“ родство от първа степен по права линия между Делян *** Добрев и неговите родители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З.С.Д. (майка) и А.Д.Д.,</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обуславя свързаност помежду им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смисъла на § 1, т. 15, б.“а“ от ДР на ЗПКОНПИ, съответно §1, т.9, б.“а“ от ДР на ЗПК.</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56" w:before="0" w:line="240" w:lineRule="auto"/>
        <w:ind w:left="20" w:right="20" w:firstLine="54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Освен от родство, свързаност може се породи и от наличието на икономически или политически зависимости, които пораждат основателни съмнения в безпристрастността и обективността на лицето, заемащо висша публична длъжност, съгласно разпоредбата на §1, т.15, б.“б“ от ДР на ЗПКОНПИ, съответно §1, т.9, б.“б“ от ДР на ЗПК. </w:t>
      </w:r>
    </w:p>
    <w:p w:rsidR="00000000" w:rsidDel="00000000" w:rsidP="00000000" w:rsidRDefault="00000000" w:rsidRPr="00000000" w14:paraId="0000004E">
      <w:pPr>
        <w:ind w:right="141" w:firstLine="720"/>
        <w:jc w:val="both"/>
        <w:rPr>
          <w:sz w:val="24"/>
          <w:szCs w:val="24"/>
          <w:vertAlign w:val="baseline"/>
        </w:rPr>
      </w:pPr>
      <w:r w:rsidDel="00000000" w:rsidR="00000000" w:rsidRPr="00000000">
        <w:rPr>
          <w:sz w:val="24"/>
          <w:szCs w:val="24"/>
          <w:vertAlign w:val="baseline"/>
          <w:rtl w:val="0"/>
        </w:rPr>
        <w:t xml:space="preserve">От събраните по преписката доказателства не се установи Делян Добрев да има участия в търговски дружества или да е член на управителен или контролен орган на такива, което изключва наличието на икономически зависимости, респективно свързаност между него и дружествата „***“ ООД, „ТЕЦ ***“ АД и „***“ ЕООД. В случая обаче евентуално упражнените от него в качеството му на народен представител  правомощия по служба в интерес на дружеството „***“ ООД, които биха могли да доведат до положителен резултат за същото, биха довели до положителен резултат и за свързаните с Добрев лица и негови родители, които са съдружници в същото дружество.</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56" w:before="0" w:line="240" w:lineRule="auto"/>
        <w:ind w:left="20" w:right="20" w:firstLine="54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Съгласно константната практика на Върховния административен съд, за да се прецени дали е налице конфликт на интереси, следва да се прецени конкретното поведение на лицето, заемащо висша публична длъжност, при изпълнение на правомощията му по служба, както и дали това поведение може да доведе до някаква полза, до облага за него или за свързано с него лице, за да е налице частен интерес.</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56" w:before="0" w:line="240" w:lineRule="auto"/>
        <w:ind w:left="20" w:right="20" w:firstLine="54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събраните по преписката доказателства по категоричен начин се установи, че в качеството си на народен представител Делян *** Добрев е упражнил свои правомощия по служба -  заедно с група народни представители, е внесъл в 48-то Народно събрание проект на Решение, с което се задължава Министерският съвет да промени Плана за възстановяване и устойчивост в част енергетика (Решение/то), вх. №48-354-02-21/12.01.2023 г. на НС. С Решението Народното събрание задължава Министерския съвет, чрез заместник министър-председателя по управление на европейските средства и министъра на енергетиката в срок до 31 март 2023 г. да предприеме всички необходими действия и да отправи обосновано искане до Европейската комисия, като направи предложение за изменение на Плана за възстановяване и устойчивост на Република България и да постигне съгласие и предварителна положителна оценка от Европейската комисия относно изменение на Плана в конкретно посочени раздели. Освен като съвносител, Делян Добрев взема активно участие в подготовката на Решението и в качеството си на председател на Комисията по енергетика в 48-то Народно събрание. Той докладва и участва в приемането на Решението от 48-то Народно събрание, като гласува „за“ при всички 11 гласувания, свързани с приемането му.</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56" w:before="0" w:line="240" w:lineRule="auto"/>
        <w:ind w:left="20" w:right="20" w:firstLine="54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Установи се също така, че в периода от  01.01.2021 г. до 18.10.2023 г. „***“ ООД е доставяло на „***“ ЕООД срещу заплащане гориво под формата на биомаса (дървесен чипс, стърготини, талаш, пелети), като условията /срокове, количества, плащания/ по същите са договаряни в зависимост от нуждите на текущия производствен процес, при липсата на сключен договор, каквато е била обичайната практика за работа и с останалите доставчици на горива под формата на биомаса.</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56" w:before="0" w:line="240" w:lineRule="auto"/>
        <w:ind w:left="20" w:right="20" w:firstLine="54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Наведените в сигнала твърдения обаче, че внасяйки и гласувайки предложение за приемане на Решение, с което да се задължи Министерския съвет да промени Плана за възстановяване и устойчивост в част енергетика, с акцент върху Реформа 10 „Декарбонизация на енергийния сектор“, предвиждаща отпадне на поетия ангажимент за намаляване на въглеродните емисии от производство на електроенергия с 40 % до края на 2025 г., като се осигури работа на централите на въглища без ограничение поне до 2038 г., в контекста на това, че дружеството „***“ ООД, което е производител на пелети от иглолистна дървесина, а негови собственици и управители са родителите на Делян Добрев, като един от множеството доставчици на гориво от биомаса е доставяло дървесен чипс на ТЕЦ „***“ АД срещу заплащане, не могат да обусловят извод за наличие на частен интерес от упражнените от Делян Добрев в качеството му на народен представител правомощия по служба - за него самия или за свързаните с него лица. </w:t>
      </w:r>
    </w:p>
    <w:p w:rsidR="00000000" w:rsidDel="00000000" w:rsidP="00000000" w:rsidRDefault="00000000" w:rsidRPr="00000000" w14:paraId="00000053">
      <w:pPr>
        <w:tabs>
          <w:tab w:val="left" w:leader="none" w:pos="426"/>
        </w:tabs>
        <w:ind w:right="-176" w:firstLine="720"/>
        <w:jc w:val="both"/>
        <w:rPr>
          <w:sz w:val="24"/>
          <w:szCs w:val="24"/>
          <w:vertAlign w:val="baseline"/>
        </w:rPr>
      </w:pPr>
      <w:r w:rsidDel="00000000" w:rsidR="00000000" w:rsidRPr="00000000">
        <w:rPr>
          <w:b w:val="1"/>
          <w:bCs w:val="1"/>
          <w:color w:val="000000"/>
          <w:sz w:val="24"/>
          <w:szCs w:val="24"/>
          <w:vertAlign w:val="baseline"/>
          <w:rtl w:val="0"/>
        </w:rPr>
        <w:t xml:space="preserve">Горният извод се извежда и подкрепя напълно и от </w:t>
      </w:r>
      <w:r w:rsidDel="00000000" w:rsidR="00000000" w:rsidRPr="00000000">
        <w:rPr>
          <w:b w:val="1"/>
          <w:bCs w:val="1"/>
          <w:sz w:val="24"/>
          <w:szCs w:val="24"/>
          <w:vertAlign w:val="baseline"/>
          <w:rtl w:val="0"/>
        </w:rPr>
        <w:t xml:space="preserve">събраните по преписката доказателства:</w:t>
      </w:r>
      <w:r w:rsidDel="00000000" w:rsidR="00000000" w:rsidRPr="00000000">
        <w:rPr>
          <w:rtl w:val="0"/>
        </w:rPr>
      </w:r>
    </w:p>
    <w:p w:rsidR="00000000" w:rsidDel="00000000" w:rsidP="00000000" w:rsidRDefault="00000000" w:rsidRPr="00000000" w14:paraId="00000054">
      <w:pPr>
        <w:tabs>
          <w:tab w:val="left" w:leader="none" w:pos="426"/>
        </w:tabs>
        <w:ind w:right="-176" w:firstLine="720"/>
        <w:jc w:val="both"/>
        <w:rPr>
          <w:color w:val="000000"/>
          <w:sz w:val="24"/>
          <w:szCs w:val="24"/>
          <w:highlight w:val="white"/>
          <w:vertAlign w:val="baseline"/>
        </w:rPr>
      </w:pPr>
      <w:r w:rsidDel="00000000" w:rsidR="00000000" w:rsidRPr="00000000">
        <w:rPr>
          <w:color w:val="000000"/>
          <w:sz w:val="24"/>
          <w:szCs w:val="24"/>
          <w:highlight w:val="white"/>
          <w:vertAlign w:val="baseline"/>
          <w:rtl w:val="0"/>
        </w:rPr>
        <w:t xml:space="preserve">Преди всичко, за да се направи извод за наличие на частен интерес за него самия или за свързано с него лице от предложения и гласуван от Делян Добрев в качеството му на народен представител акт – </w:t>
      </w:r>
      <w:r w:rsidDel="00000000" w:rsidR="00000000" w:rsidRPr="00000000">
        <w:rPr>
          <w:b w:val="1"/>
          <w:bCs w:val="1"/>
          <w:color w:val="000000"/>
          <w:sz w:val="24"/>
          <w:szCs w:val="24"/>
          <w:vertAlign w:val="baseline"/>
          <w:rtl w:val="0"/>
        </w:rPr>
        <w:t xml:space="preserve">Решение да задължи Министерския съвет да промени Националния план за възстановяване и устойчивост в част „Енергетика“</w:t>
      </w:r>
      <w:r w:rsidDel="00000000" w:rsidR="00000000" w:rsidRPr="00000000">
        <w:rPr>
          <w:color w:val="000000"/>
          <w:sz w:val="24"/>
          <w:szCs w:val="24"/>
          <w:vertAlign w:val="baseline"/>
          <w:rtl w:val="0"/>
        </w:rPr>
        <w:t xml:space="preserve">, трябва да се изследват и анализират редица процеси и взаимовръзки, в т.ч. регулаторната рамка относно създаването, приемането и прилагането на основния акт – в случая Плана за възстановяване и устойчивост, същността на ПВУ като акт и възможността той самостоятелно да породи или да </w:t>
      </w:r>
      <w:r w:rsidDel="00000000" w:rsidR="00000000" w:rsidRPr="00000000">
        <w:rPr>
          <w:sz w:val="24"/>
          <w:szCs w:val="24"/>
          <w:highlight w:val="white"/>
          <w:vertAlign w:val="baseline"/>
          <w:rtl w:val="0"/>
        </w:rPr>
        <w:t xml:space="preserve">засегне непосредствено права, свободи или законни интереси на държавните органи, организациите и гражданите.</w:t>
      </w:r>
      <w:r w:rsidDel="00000000" w:rsidR="00000000" w:rsidRPr="00000000">
        <w:rPr>
          <w:rtl w:val="0"/>
        </w:rPr>
      </w:r>
    </w:p>
    <w:p w:rsidR="00000000" w:rsidDel="00000000" w:rsidP="00000000" w:rsidRDefault="00000000" w:rsidRPr="00000000" w14:paraId="00000055">
      <w:pPr>
        <w:tabs>
          <w:tab w:val="left" w:leader="none" w:pos="426"/>
        </w:tabs>
        <w:ind w:right="-176" w:firstLine="720"/>
        <w:jc w:val="both"/>
        <w:rPr>
          <w:sz w:val="24"/>
          <w:szCs w:val="24"/>
          <w:vertAlign w:val="baseline"/>
        </w:rPr>
      </w:pPr>
      <w:r w:rsidDel="00000000" w:rsidR="00000000" w:rsidRPr="00000000">
        <w:rPr>
          <w:color w:val="000000"/>
          <w:sz w:val="24"/>
          <w:szCs w:val="24"/>
          <w:highlight w:val="white"/>
          <w:vertAlign w:val="baseline"/>
          <w:rtl w:val="0"/>
        </w:rPr>
        <w:t xml:space="preserve">Видно от преамбюла основната цел на Плана за възстановяване и устойчивост (План/а) е </w:t>
      </w:r>
      <w:r w:rsidDel="00000000" w:rsidR="00000000" w:rsidRPr="00000000">
        <w:rPr>
          <w:b w:val="1"/>
          <w:bCs w:val="1"/>
          <w:color w:val="000000"/>
          <w:sz w:val="24"/>
          <w:szCs w:val="24"/>
          <w:highlight w:val="white"/>
          <w:vertAlign w:val="baseline"/>
          <w:rtl w:val="0"/>
        </w:rPr>
        <w:t xml:space="preserve">да способства икономическото и социално възстановяване от кризата</w:t>
      </w:r>
      <w:r w:rsidDel="00000000" w:rsidR="00000000" w:rsidRPr="00000000">
        <w:rPr>
          <w:color w:val="000000"/>
          <w:sz w:val="24"/>
          <w:szCs w:val="24"/>
          <w:highlight w:val="white"/>
          <w:vertAlign w:val="baseline"/>
          <w:rtl w:val="0"/>
        </w:rPr>
        <w:t xml:space="preserve">, </w:t>
      </w:r>
      <w:r w:rsidDel="00000000" w:rsidR="00000000" w:rsidRPr="00000000">
        <w:rPr>
          <w:b w:val="1"/>
          <w:bCs w:val="1"/>
          <w:color w:val="000000"/>
          <w:sz w:val="24"/>
          <w:szCs w:val="24"/>
          <w:highlight w:val="white"/>
          <w:vertAlign w:val="baseline"/>
          <w:rtl w:val="0"/>
        </w:rPr>
        <w:t xml:space="preserve">породена от COVID-19 пандемията</w:t>
      </w:r>
      <w:r w:rsidDel="00000000" w:rsidR="00000000" w:rsidRPr="00000000">
        <w:rPr>
          <w:color w:val="000000"/>
          <w:sz w:val="24"/>
          <w:szCs w:val="24"/>
          <w:highlight w:val="white"/>
          <w:vertAlign w:val="baseline"/>
          <w:rtl w:val="0"/>
        </w:rPr>
        <w:t xml:space="preserve">, като в преследването на тази цел са групирани набор от мерки и реформи, които да имат съществен принос към възстановяването на потенциала за растеж на икономиката и да го развият, като осигурят устойчивост на негативни външни въздействия. Това ще позволи в дългосрочен план постигането на стратегическата цел за конвергенция на икономиката и доходите до средноевропейските. Същевременно, Планът полага основите за зелена и цифрова трансформация на икономиката, в контекста на амбициозните цели на Зелената сделка.</w:t>
      </w:r>
      <w:r w:rsidDel="00000000" w:rsidR="00000000" w:rsidRPr="00000000">
        <w:rPr>
          <w:rtl w:val="0"/>
        </w:rPr>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56" w:before="0" w:line="240" w:lineRule="auto"/>
        <w:ind w:left="20" w:right="20" w:firstLine="54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И още, Планът за възстановяване и устойчивост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представя вижданията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на правителството и обществото за начина, по който трябва да бъдат адресирани структурни проблеми в икономиката.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Планът предвижда комплекс от реформи и инвестиции, които осигуряват необходимото ниво на съгласуваност с успоредно планираните мерки в рамките на Кохезионната политика на ЕС</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 както по линия на допълнителното финансиране за програмния период 2014-2020 г. (REACT EU), така и в пакета от стратегически документи за следващия програмен период. Допълнителните усилия за преход към неутрална по отношение на климата икономика в контекста на амбициозните цели на Европейския зелен пакт, които ще бъдат финансирани през Механизма за справедлив преход на базата на Планове за справедлив преход, също следва да бъдат взети предвид.</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56" w:before="0" w:line="240" w:lineRule="auto"/>
        <w:ind w:left="20" w:right="20" w:firstLine="547"/>
        <w:jc w:val="both"/>
        <w:rPr>
          <w:rFonts w:ascii="Times New Roman" w:cs="Times New Roman" w:eastAsia="Times New Roman" w:hAnsi="Times New Roman"/>
          <w:b w:val="0"/>
          <w:bCs w:val="0"/>
          <w:i w:val="0"/>
          <w:iCs w:val="0"/>
          <w:smallCaps w:val="0"/>
          <w:strike w:val="0"/>
          <w:color w:val="333333"/>
          <w:sz w:val="24"/>
          <w:szCs w:val="24"/>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333333"/>
          <w:sz w:val="24"/>
          <w:szCs w:val="24"/>
          <w:u w:val="none"/>
          <w:shd w:fill="auto" w:val="clear"/>
          <w:vertAlign w:val="baseline"/>
          <w:rtl w:val="0"/>
        </w:rPr>
        <w:t xml:space="preserve">В правен аспект Планът за възстановяване и устойчивост на Република България е изработен в изпълнение на разпоредбите на </w:t>
      </w:r>
      <w:r w:rsidDel="00000000" w:rsidR="00000000" w:rsidRPr="00000000">
        <w:rPr>
          <w:rFonts w:ascii="Times New Roman" w:cs="Times New Roman" w:eastAsia="Times New Roman" w:hAnsi="Times New Roman"/>
          <w:b w:val="1"/>
          <w:bCs w:val="1"/>
          <w:i w:val="0"/>
          <w:iCs w:val="0"/>
          <w:smallCaps w:val="0"/>
          <w:strike w:val="0"/>
          <w:color w:val="333333"/>
          <w:sz w:val="24"/>
          <w:szCs w:val="24"/>
          <w:u w:val="none"/>
          <w:shd w:fill="auto" w:val="clear"/>
          <w:vertAlign w:val="baseline"/>
          <w:rtl w:val="0"/>
        </w:rPr>
        <w:t xml:space="preserve">РЕГЛАМЕНТ (ЕС) 2021/241 НА ЕВРОПЕЙСКИЯ ПАРЛАМЕНТ И НА СЪВЕТА</w:t>
      </w:r>
      <w:r w:rsidDel="00000000" w:rsidR="00000000" w:rsidRPr="00000000">
        <w:rPr>
          <w:rFonts w:ascii="Times New Roman" w:cs="Times New Roman" w:eastAsia="Times New Roman" w:hAnsi="Times New Roman"/>
          <w:b w:val="0"/>
          <w:bCs w:val="0"/>
          <w:i w:val="0"/>
          <w:iCs w:val="0"/>
          <w:smallCaps w:val="0"/>
          <w:strike w:val="0"/>
          <w:color w:val="333333"/>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0"/>
          <w:iCs w:val="0"/>
          <w:smallCaps w:val="0"/>
          <w:strike w:val="0"/>
          <w:color w:val="333333"/>
          <w:sz w:val="24"/>
          <w:szCs w:val="24"/>
          <w:u w:val="none"/>
          <w:shd w:fill="auto" w:val="clear"/>
          <w:vertAlign w:val="baseline"/>
          <w:rtl w:val="0"/>
        </w:rPr>
        <w:t xml:space="preserve">за създаване на Механизъм за възстановяване и устойчивост (Регламент/а)</w:t>
      </w:r>
      <w:r w:rsidDel="00000000" w:rsidR="00000000" w:rsidRPr="00000000">
        <w:rPr>
          <w:rFonts w:ascii="Times New Roman" w:cs="Times New Roman" w:eastAsia="Times New Roman" w:hAnsi="Times New Roman"/>
          <w:b w:val="0"/>
          <w:bCs w:val="0"/>
          <w:i w:val="0"/>
          <w:iCs w:val="0"/>
          <w:smallCaps w:val="0"/>
          <w:strike w:val="0"/>
          <w:color w:val="333333"/>
          <w:sz w:val="24"/>
          <w:szCs w:val="24"/>
          <w:u w:val="none"/>
          <w:shd w:fill="auto" w:val="clear"/>
          <w:vertAlign w:val="baseline"/>
          <w:rtl w:val="0"/>
        </w:rPr>
        <w:t xml:space="preserve">, приет на 12.02.2021 година и влязъл в сила на 18.02.2021 г., с публикуването му в Официален вестник на Европейския съюз. </w:t>
      </w:r>
      <w:r w:rsidDel="00000000" w:rsidR="00000000" w:rsidRPr="00000000">
        <w:rPr>
          <w:rFonts w:ascii="Times New Roman" w:cs="Times New Roman" w:eastAsia="Times New Roman" w:hAnsi="Times New Roman"/>
          <w:b w:val="0"/>
          <w:bCs w:val="0"/>
          <w:i w:val="0"/>
          <w:iCs w:val="0"/>
          <w:smallCaps w:val="0"/>
          <w:strike w:val="0"/>
          <w:color w:val="333333"/>
          <w:sz w:val="24"/>
          <w:szCs w:val="24"/>
          <w:highlight w:val="white"/>
          <w:u w:val="none"/>
          <w:vertAlign w:val="baseline"/>
          <w:rtl w:val="0"/>
        </w:rPr>
        <w:t xml:space="preserve">Регламентът е задължителен в своята цялост и се прилага пряко във всички държави членки. </w:t>
      </w:r>
      <w:r w:rsidDel="00000000" w:rsidR="00000000" w:rsidRPr="00000000">
        <w:rPr>
          <w:rFonts w:ascii="Times New Roman" w:cs="Times New Roman" w:eastAsia="Times New Roman" w:hAnsi="Times New Roman"/>
          <w:b w:val="1"/>
          <w:bCs w:val="1"/>
          <w:i w:val="0"/>
          <w:iCs w:val="0"/>
          <w:smallCaps w:val="0"/>
          <w:strike w:val="0"/>
          <w:color w:val="333333"/>
          <w:sz w:val="24"/>
          <w:szCs w:val="24"/>
          <w:u w:val="none"/>
          <w:shd w:fill="auto" w:val="clear"/>
          <w:vertAlign w:val="baseline"/>
          <w:rtl w:val="0"/>
        </w:rPr>
        <w:t xml:space="preserve">С Регламента се създава Механизъм за възстановяване и устойчивост</w:t>
      </w:r>
      <w:r w:rsidDel="00000000" w:rsidR="00000000" w:rsidRPr="00000000">
        <w:rPr>
          <w:rFonts w:ascii="Times New Roman" w:cs="Times New Roman" w:eastAsia="Times New Roman" w:hAnsi="Times New Roman"/>
          <w:b w:val="0"/>
          <w:bCs w:val="0"/>
          <w:i w:val="0"/>
          <w:iCs w:val="0"/>
          <w:smallCaps w:val="0"/>
          <w:strike w:val="0"/>
          <w:color w:val="333333"/>
          <w:sz w:val="24"/>
          <w:szCs w:val="24"/>
          <w:u w:val="none"/>
          <w:shd w:fill="auto" w:val="clear"/>
          <w:vertAlign w:val="baseline"/>
          <w:rtl w:val="0"/>
        </w:rPr>
        <w:t xml:space="preserve"> (наричан по-нататък „Механизмът“), </w:t>
      </w:r>
      <w:r w:rsidDel="00000000" w:rsidR="00000000" w:rsidRPr="00000000">
        <w:rPr>
          <w:rFonts w:ascii="Times New Roman" w:cs="Times New Roman" w:eastAsia="Times New Roman" w:hAnsi="Times New Roman"/>
          <w:b w:val="1"/>
          <w:bCs w:val="1"/>
          <w:i w:val="0"/>
          <w:iCs w:val="0"/>
          <w:smallCaps w:val="0"/>
          <w:strike w:val="0"/>
          <w:color w:val="333333"/>
          <w:sz w:val="24"/>
          <w:szCs w:val="24"/>
          <w:u w:val="none"/>
          <w:shd w:fill="auto" w:val="clear"/>
          <w:vertAlign w:val="baseline"/>
          <w:rtl w:val="0"/>
        </w:rPr>
        <w:t xml:space="preserve">който да осигури ефективна и значителна финансова подкрепа за ускоряване на прилагането на устойчиви реформи и свързаните с тях публични инвестиции в държавите членки.</w:t>
      </w:r>
      <w:r w:rsidDel="00000000" w:rsidR="00000000" w:rsidRPr="00000000">
        <w:rPr>
          <w:rFonts w:ascii="Times New Roman" w:cs="Times New Roman" w:eastAsia="Times New Roman" w:hAnsi="Times New Roman"/>
          <w:b w:val="0"/>
          <w:bCs w:val="0"/>
          <w:i w:val="0"/>
          <w:iCs w:val="0"/>
          <w:smallCaps w:val="0"/>
          <w:strike w:val="0"/>
          <w:color w:val="333333"/>
          <w:sz w:val="24"/>
          <w:szCs w:val="24"/>
          <w:u w:val="none"/>
          <w:shd w:fill="auto" w:val="clear"/>
          <w:vertAlign w:val="baseline"/>
          <w:rtl w:val="0"/>
        </w:rPr>
        <w:t xml:space="preserve"> Механизмът е специално създаден инструмент, предназначен за преодоляване на неблагоприятните въздействия и последиците от кризата във връзка с COVID-19 в Съюза. </w:t>
      </w:r>
      <w:r w:rsidDel="00000000" w:rsidR="00000000" w:rsidRPr="00000000">
        <w:rPr>
          <w:rFonts w:ascii="Times New Roman" w:cs="Times New Roman" w:eastAsia="Times New Roman" w:hAnsi="Times New Roman"/>
          <w:b w:val="0"/>
          <w:bCs w:val="0"/>
          <w:i w:val="0"/>
          <w:iCs w:val="0"/>
          <w:smallCaps w:val="0"/>
          <w:strike w:val="0"/>
          <w:color w:val="333333"/>
          <w:sz w:val="24"/>
          <w:szCs w:val="24"/>
          <w:highlight w:val="white"/>
          <w:u w:val="none"/>
          <w:vertAlign w:val="baseline"/>
          <w:rtl w:val="0"/>
        </w:rPr>
        <w:t xml:space="preserve">Безвъзмездната финансова подкрепа по линия на Механизма следва да бъде под формата на участие </w:t>
      </w:r>
      <w:r w:rsidDel="00000000" w:rsidR="00000000" w:rsidRPr="00000000">
        <w:rPr>
          <w:rFonts w:ascii="Times New Roman" w:cs="Times New Roman" w:eastAsia="Times New Roman" w:hAnsi="Times New Roman"/>
          <w:b w:val="0"/>
          <w:bCs w:val="0"/>
          <w:i w:val="1"/>
          <w:iCs w:val="1"/>
          <w:smallCaps w:val="0"/>
          <w:strike w:val="0"/>
          <w:color w:val="333333"/>
          <w:sz w:val="24"/>
          <w:szCs w:val="24"/>
          <w:highlight w:val="white"/>
          <w:u w:val="none"/>
          <w:vertAlign w:val="baseline"/>
          <w:rtl w:val="0"/>
        </w:rPr>
        <w:t xml:space="preserve">sui generis</w:t>
      </w:r>
      <w:r w:rsidDel="00000000" w:rsidR="00000000" w:rsidRPr="00000000">
        <w:rPr>
          <w:rFonts w:ascii="Times New Roman" w:cs="Times New Roman" w:eastAsia="Times New Roman" w:hAnsi="Times New Roman"/>
          <w:b w:val="0"/>
          <w:bCs w:val="0"/>
          <w:i w:val="0"/>
          <w:iCs w:val="0"/>
          <w:smallCaps w:val="0"/>
          <w:strike w:val="0"/>
          <w:color w:val="333333"/>
          <w:sz w:val="24"/>
          <w:szCs w:val="24"/>
          <w:highlight w:val="white"/>
          <w:u w:val="none"/>
          <w:vertAlign w:val="baseline"/>
          <w:rtl w:val="0"/>
        </w:rPr>
        <w:t xml:space="preserve"> на Съюза, което да се определя въз основа на максимално финансово участие, изчислено за всяка държава членка, и при отчитане на прогнозните общи разходи по плана за възстановяване и устойчивост, и която следва да бъде изплатена въз основа на постигането на резултати по отношение на ключовите етапи и целите на плановете за възстановяване и устойчивост.</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56" w:before="0" w:line="240" w:lineRule="auto"/>
        <w:ind w:left="20" w:right="20" w:firstLine="547"/>
        <w:jc w:val="both"/>
        <w:rPr>
          <w:rFonts w:ascii="Times New Roman" w:cs="Times New Roman" w:eastAsia="Times New Roman" w:hAnsi="Times New Roman"/>
          <w:b w:val="0"/>
          <w:bCs w:val="0"/>
          <w:i w:val="0"/>
          <w:iCs w:val="0"/>
          <w:smallCaps w:val="0"/>
          <w:strike w:val="0"/>
          <w:color w:val="333333"/>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333333"/>
          <w:sz w:val="24"/>
          <w:szCs w:val="24"/>
          <w:u w:val="none"/>
          <w:shd w:fill="auto" w:val="clear"/>
          <w:vertAlign w:val="baseline"/>
          <w:rtl w:val="0"/>
        </w:rPr>
        <w:t xml:space="preserve">Съгласно чл.17, Глава III на Регламента („Планове за възстановяване и устойчивост“) в рамките на обхвата и в изпълнение на целите, посочени в Регламента, </w:t>
      </w:r>
      <w:r w:rsidDel="00000000" w:rsidR="00000000" w:rsidRPr="00000000">
        <w:rPr>
          <w:rFonts w:ascii="Times New Roman" w:cs="Times New Roman" w:eastAsia="Times New Roman" w:hAnsi="Times New Roman"/>
          <w:b w:val="1"/>
          <w:bCs w:val="1"/>
          <w:i w:val="0"/>
          <w:iCs w:val="0"/>
          <w:smallCaps w:val="0"/>
          <w:strike w:val="0"/>
          <w:color w:val="333333"/>
          <w:sz w:val="24"/>
          <w:szCs w:val="24"/>
          <w:u w:val="none"/>
          <w:shd w:fill="auto" w:val="clear"/>
          <w:vertAlign w:val="baseline"/>
          <w:rtl w:val="0"/>
        </w:rPr>
        <w:t xml:space="preserve">държавите членки изготвят национални планове за възстановяване и устойчивост. Тези планове определят програмата за реформи и инвестиции на съответната държава членка. </w:t>
      </w:r>
      <w:r w:rsidDel="00000000" w:rsidR="00000000" w:rsidRPr="00000000">
        <w:rPr>
          <w:rFonts w:ascii="Times New Roman" w:cs="Times New Roman" w:eastAsia="Times New Roman" w:hAnsi="Times New Roman"/>
          <w:b w:val="0"/>
          <w:bCs w:val="0"/>
          <w:i w:val="0"/>
          <w:iCs w:val="0"/>
          <w:smallCaps w:val="0"/>
          <w:strike w:val="0"/>
          <w:color w:val="333333"/>
          <w:sz w:val="24"/>
          <w:szCs w:val="24"/>
          <w:u w:val="none"/>
          <w:shd w:fill="auto" w:val="clear"/>
          <w:vertAlign w:val="baseline"/>
          <w:rtl w:val="0"/>
        </w:rPr>
        <w:t xml:space="preserve">Плановете за възстановяване и устойчивост, които отговарят на условията за финансиране по механизма, включват мерки за осъществяване на реформи и публични инвестиции чрез всеобхватен и съгласуван пакет, който може да включва също така публични схеми, насочени към стимулиране на частни инвестиции.</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56" w:before="0" w:line="240" w:lineRule="auto"/>
        <w:ind w:left="20" w:right="20" w:firstLine="54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333333"/>
          <w:sz w:val="24"/>
          <w:szCs w:val="24"/>
          <w:highlight w:val="white"/>
          <w:u w:val="none"/>
          <w:vertAlign w:val="baseline"/>
          <w:rtl w:val="0"/>
        </w:rPr>
        <w:t xml:space="preserve">Европейската комисия (Комисия/та) оценява плана за възстановяване и устойчивост </w:t>
      </w:r>
      <w:r w:rsidDel="00000000" w:rsidR="00000000" w:rsidRPr="00000000">
        <w:rPr>
          <w:rFonts w:ascii="Times New Roman" w:cs="Times New Roman" w:eastAsia="Times New Roman" w:hAnsi="Times New Roman"/>
          <w:b w:val="0"/>
          <w:bCs w:val="0"/>
          <w:i w:val="0"/>
          <w:iCs w:val="0"/>
          <w:smallCaps w:val="0"/>
          <w:strike w:val="0"/>
          <w:color w:val="333333"/>
          <w:sz w:val="24"/>
          <w:szCs w:val="24"/>
          <w:highlight w:val="white"/>
          <w:u w:val="none"/>
          <w:vertAlign w:val="baseline"/>
          <w:rtl w:val="0"/>
        </w:rPr>
        <w:t xml:space="preserve">или когато е приложимо, актуализацията на този план, представена от държавата членка в съответствие с член 18, параграф 1 или параграф 2, в срок от два месеца от официалното представяне и прави предложение за решение за изпълнение на Съвета (на Европейския съюз) в съответствие с член 20, параграф 1. При извършването на тази оценка Комисията действа в тясно сътрудничество със съответната държава членка. Комисията може да направи коментари или да поиска допълнителна информация. </w:t>
      </w:r>
      <w:r w:rsidDel="00000000" w:rsidR="00000000" w:rsidRPr="00000000">
        <w:rPr>
          <w:rFonts w:ascii="Times New Roman" w:cs="Times New Roman" w:eastAsia="Times New Roman" w:hAnsi="Times New Roman"/>
          <w:b w:val="1"/>
          <w:bCs w:val="1"/>
          <w:i w:val="0"/>
          <w:iCs w:val="0"/>
          <w:smallCaps w:val="0"/>
          <w:strike w:val="0"/>
          <w:color w:val="333333"/>
          <w:sz w:val="24"/>
          <w:szCs w:val="24"/>
          <w:u w:val="none"/>
          <w:shd w:fill="auto" w:val="clear"/>
          <w:vertAlign w:val="baseline"/>
          <w:rtl w:val="0"/>
        </w:rPr>
        <w:t xml:space="preserve">По предложение на Комисията Съветът одобрява, посредством решение за изпълнение, оценката на плана за възстановяване и устойчивост, представен от държавата членка</w:t>
      </w:r>
      <w:r w:rsidDel="00000000" w:rsidR="00000000" w:rsidRPr="00000000">
        <w:rPr>
          <w:rFonts w:ascii="Times New Roman" w:cs="Times New Roman" w:eastAsia="Times New Roman" w:hAnsi="Times New Roman"/>
          <w:b w:val="0"/>
          <w:bCs w:val="0"/>
          <w:i w:val="0"/>
          <w:iCs w:val="0"/>
          <w:smallCaps w:val="0"/>
          <w:strike w:val="0"/>
          <w:color w:val="333333"/>
          <w:sz w:val="24"/>
          <w:szCs w:val="24"/>
          <w:u w:val="none"/>
          <w:shd w:fill="auto" w:val="clear"/>
          <w:vertAlign w:val="baseline"/>
          <w:rtl w:val="0"/>
        </w:rPr>
        <w:t xml:space="preserve"> в съответствие с член 18, параграф 1, или когато е приложимо, неговата актуализация, представена в съответствие с член 18, параграф 2. В случай че Комисията даде положителна оценка на план за възстановяване и устойчивост, предложението на Комисията за решение за изпълнение на Съвета определя реформите и инвестиционните проекти, които трябва да се изпълнят от държавата членка, включително ключовите етапи и целите и финансовото участие.</w:t>
      </w:r>
      <w:r w:rsidDel="00000000" w:rsidR="00000000" w:rsidRPr="00000000">
        <w:rPr>
          <w:rtl w:val="0"/>
        </w:rPr>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56" w:before="0" w:line="240" w:lineRule="auto"/>
        <w:ind w:left="20" w:right="20" w:firstLine="54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Съгласно чл.21 („</w:t>
      </w:r>
      <w:r w:rsidDel="00000000" w:rsidR="00000000" w:rsidRPr="00000000">
        <w:rPr>
          <w:rFonts w:ascii="Times New Roman" w:cs="Times New Roman" w:eastAsia="Times New Roman" w:hAnsi="Times New Roman"/>
          <w:b w:val="0"/>
          <w:bCs w:val="0"/>
          <w:i w:val="0"/>
          <w:iCs w:val="0"/>
          <w:smallCaps w:val="0"/>
          <w:strike w:val="0"/>
          <w:color w:val="333333"/>
          <w:sz w:val="24"/>
          <w:szCs w:val="24"/>
          <w:u w:val="none"/>
          <w:shd w:fill="auto" w:val="clear"/>
          <w:vertAlign w:val="baseline"/>
          <w:rtl w:val="0"/>
        </w:rPr>
        <w:t xml:space="preserve">Изменение на плана за възстановяване и устойчивост“) когато планът за възстановяване и устойчивост, включително съответните ключови етапи и цели, вече не може да бъде постигнат частично или изцяло от съответната държава членка поради обективни обстоятелства, съответната държава членка може да отправи обосновано искане до Комисията да направи предложение за изменение или замяна на решенията за изпълнение на Съвета, посочени в член 20, параграфи 1 и 3. За тази цел държавата членка може да предложи изменен или нов план за възстановяване и устойчивост. Държавите членки могат да поискат техническа подкрепа за подготовката на такова предложение по линия на Инструмента за техническа подкрепа. </w:t>
      </w:r>
      <w:r w:rsidDel="00000000" w:rsidR="00000000" w:rsidRPr="00000000">
        <w:rPr>
          <w:rFonts w:ascii="Times New Roman" w:cs="Times New Roman" w:eastAsia="Times New Roman" w:hAnsi="Times New Roman"/>
          <w:b w:val="1"/>
          <w:bCs w:val="1"/>
          <w:i w:val="0"/>
          <w:iCs w:val="0"/>
          <w:smallCaps w:val="0"/>
          <w:strike w:val="0"/>
          <w:color w:val="333333"/>
          <w:sz w:val="24"/>
          <w:szCs w:val="24"/>
          <w:u w:val="none"/>
          <w:shd w:fill="auto" w:val="clear"/>
          <w:vertAlign w:val="baseline"/>
          <w:rtl w:val="0"/>
        </w:rPr>
        <w:t xml:space="preserve">Когато Комисията счете, че причините, представени от съответната държава членка, обосновават изменение на плана за възстановяване и устойчивост, Комисията оценява изменения или нов план за възстановяване и устойчивост в съответствие с член 19 и прави предложение за ново решение за изпълнение на Съвета</w:t>
      </w:r>
      <w:r w:rsidDel="00000000" w:rsidR="00000000" w:rsidRPr="00000000">
        <w:rPr>
          <w:rFonts w:ascii="Times New Roman" w:cs="Times New Roman" w:eastAsia="Times New Roman" w:hAnsi="Times New Roman"/>
          <w:b w:val="0"/>
          <w:bCs w:val="0"/>
          <w:i w:val="0"/>
          <w:iCs w:val="0"/>
          <w:smallCaps w:val="0"/>
          <w:strike w:val="0"/>
          <w:color w:val="333333"/>
          <w:sz w:val="24"/>
          <w:szCs w:val="24"/>
          <w:u w:val="none"/>
          <w:shd w:fill="auto" w:val="clear"/>
          <w:vertAlign w:val="baseline"/>
          <w:rtl w:val="0"/>
        </w:rPr>
        <w:t xml:space="preserve"> в съответствие с член 20, параграф 1 в срок от два месеца от официалното представяне на искането. Ако е необходимо, съответната държава членка и Комисията могат да се споразумеят да удължат този срок с разумен период от време. Съветът приема новото решение за изпълнение по правило в срок от четири седмици от приемането на предложението на Комисията</w:t>
      </w:r>
      <w:r w:rsidDel="00000000" w:rsidR="00000000" w:rsidRPr="00000000">
        <w:rPr>
          <w:rFonts w:ascii="Times New Roman" w:cs="Times New Roman" w:eastAsia="Times New Roman" w:hAnsi="Times New Roman"/>
          <w:b w:val="1"/>
          <w:bCs w:val="1"/>
          <w:i w:val="0"/>
          <w:iCs w:val="0"/>
          <w:smallCaps w:val="0"/>
          <w:strike w:val="0"/>
          <w:color w:val="333333"/>
          <w:sz w:val="24"/>
          <w:szCs w:val="24"/>
          <w:u w:val="none"/>
          <w:shd w:fill="auto" w:val="clear"/>
          <w:vertAlign w:val="baseline"/>
          <w:rtl w:val="0"/>
        </w:rPr>
        <w:t xml:space="preserve">. Когато Комисията счете, че причините, представени от съответната държава членка, не обосновават изменение на съответния план за възстановяване и устойчивост, тя отхвърля искането</w:t>
      </w:r>
      <w:r w:rsidDel="00000000" w:rsidR="00000000" w:rsidRPr="00000000">
        <w:rPr>
          <w:rFonts w:ascii="Times New Roman" w:cs="Times New Roman" w:eastAsia="Times New Roman" w:hAnsi="Times New Roman"/>
          <w:b w:val="0"/>
          <w:bCs w:val="0"/>
          <w:i w:val="0"/>
          <w:iCs w:val="0"/>
          <w:smallCaps w:val="0"/>
          <w:strike w:val="0"/>
          <w:color w:val="333333"/>
          <w:sz w:val="24"/>
          <w:szCs w:val="24"/>
          <w:u w:val="none"/>
          <w:shd w:fill="auto" w:val="clear"/>
          <w:vertAlign w:val="baseline"/>
          <w:rtl w:val="0"/>
        </w:rPr>
        <w:t xml:space="preserve"> в рамките на срока по-горе – два месеца, след като предостави на съответната държава членка възможността да изложи своите съображения в срок от един месец след съобщаването на заключенията на Комисията.</w:t>
      </w:r>
      <w:r w:rsidDel="00000000" w:rsidR="00000000" w:rsidRPr="00000000">
        <w:rPr>
          <w:rtl w:val="0"/>
        </w:rPr>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56" w:before="0" w:line="240" w:lineRule="auto"/>
        <w:ind w:left="20" w:right="20" w:firstLine="547"/>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изложеното по-горе следва, че приемането на Плана за възстановяване и устойчивост, в това число и всяко негово изменение/ замяна и допълнение е част от сложен фактически състав, изискващ съгласуването и одобрението от редица национални и Европейски институции, което е времеемък процес, от една страна. От друга страна, заложените в Плана за възстановяване и устойчивост мерки, респективно промени, изискват изработването и внасянето на редица нови или промяната на вече приети и действащи нормативни актове, което е свързано със законодателна инициатива и време за обсъждане, съгласуване и приемане на съответните нови законови разпоредби, регулиращи обхванатите в Плана за възстановяване и устойчивост реформи.</w:t>
      </w:r>
      <w:r w:rsidDel="00000000" w:rsidR="00000000" w:rsidRPr="00000000">
        <w:rPr>
          <w:rtl w:val="0"/>
        </w:rPr>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56" w:before="0" w:line="240" w:lineRule="auto"/>
        <w:ind w:left="20" w:right="20" w:firstLine="547"/>
        <w:jc w:val="both"/>
        <w:rPr>
          <w:rFonts w:ascii="Times New Roman" w:cs="Times New Roman" w:eastAsia="Times New Roman" w:hAnsi="Times New Roman"/>
          <w:b w:val="0"/>
          <w:bCs w:val="0"/>
          <w:i w:val="0"/>
          <w:iCs w:val="0"/>
          <w:smallCaps w:val="0"/>
          <w:strike w:val="0"/>
          <w:color w:val="333333"/>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Горното налага извода, че сам по себе си Планът за възстановяване и устойчивост </w:t>
      </w:r>
      <w:r w:rsidDel="00000000" w:rsidR="00000000" w:rsidRPr="00000000">
        <w:rPr>
          <w:rFonts w:ascii="Times New Roman" w:cs="Times New Roman" w:eastAsia="Times New Roman" w:hAnsi="Times New Roman"/>
          <w:b w:val="0"/>
          <w:bCs w:val="0"/>
          <w:i w:val="0"/>
          <w:iCs w:val="0"/>
          <w:smallCaps w:val="0"/>
          <w:strike w:val="0"/>
          <w:color w:val="333333"/>
          <w:sz w:val="24"/>
          <w:szCs w:val="24"/>
          <w:u w:val="none"/>
          <w:shd w:fill="auto" w:val="clear"/>
          <w:vertAlign w:val="baseline"/>
          <w:rtl w:val="0"/>
        </w:rPr>
        <w:t xml:space="preserve">определя програмата за реформи и инвестиции на съответната държава членка, като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поражда права и задължения за страните по него, в случая: Българската държава, в лицето на натоварените с изработването и управлението на Плана държавни органи и Европейските институции, първата – да изготви и представи в срок Плана, а вторите – ако </w:t>
      </w:r>
      <w:r w:rsidDel="00000000" w:rsidR="00000000" w:rsidRPr="00000000">
        <w:rPr>
          <w:rFonts w:ascii="Times New Roman" w:cs="Times New Roman" w:eastAsia="Times New Roman" w:hAnsi="Times New Roman"/>
          <w:b w:val="0"/>
          <w:bCs w:val="0"/>
          <w:i w:val="0"/>
          <w:iCs w:val="0"/>
          <w:smallCaps w:val="0"/>
          <w:strike w:val="0"/>
          <w:color w:val="333333"/>
          <w:sz w:val="24"/>
          <w:szCs w:val="24"/>
          <w:u w:val="none"/>
          <w:shd w:fill="auto" w:val="clear"/>
          <w:vertAlign w:val="baseline"/>
          <w:rtl w:val="0"/>
        </w:rPr>
        <w:t xml:space="preserve">Планът за възстановяване и устойчивост отговаря на условията за финансиране по Механизма, да включат мерки за осъществяване на реформи и публични инвестиции чрез всеобхватен и съгласуван пакет, както и да отпусне съответната целева финансова помощ.</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56" w:before="0" w:line="240" w:lineRule="auto"/>
        <w:ind w:left="20" w:right="20" w:firstLine="54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Планът за възстановяване и устойчивост обаче не води до пряко засягане на правата и задълженията на българските граждани, както и на останалите правни субекти, доколкото сам по себе си, без необходимите законодателни инициативи и законодателни промени, свързани със залегналите в него реформи, той не може да породи действие, следователно не могат да настъпят промени в правния мир на гражданите и останалите правни субекти в страната. С още по-голяма сила това се отнася за Решението на 48-то Народно събрание, с което задължава Министерския съвет да промени Плана за възстановяване и устойчивост в част "Енергетика".</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56" w:before="0" w:line="240" w:lineRule="auto"/>
        <w:ind w:left="20" w:right="20" w:firstLine="54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Изхождайки от казаното по-горе, от една страна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не може да се изведе частен интерес за Делян Добрев или за свързани с него лица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от факта на внесеното предложение в 48-то Народно събрание за приемане на Решение, с което се задължава Министерския съвет да промени Плана за възстановяване и устойчивост в част „Енергетика“, нито от приетото Решение,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т.к. само по себе си гласуваното Решение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е само част от сложния процес по съгласуване и приемане на предложените промени от национални и Европейски институции, без чието одобрение, същото не може да породи правно действие. В подкрепа на казаното е и факта, че видно и от страницата на Министерство на финансите и от изявления на министъра на финансите, въпросното Решение на 48-то Народно събрание от 12.01.2023 г. и до днес не е изпълнено, т.е. гласуваните промени по Плана за възстановяване и устойчивост в част енергетика са все още в преговорен процес с Европейската комисия, респективно не са одобрени и от Съвета. В крайна сметка, не е сигурно и дали Комисията и Съвета ще одобрят така направените предложения.</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56" w:before="0" w:line="240" w:lineRule="auto"/>
        <w:ind w:left="20" w:right="20" w:firstLine="54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друга страна,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при анализа на конкретните гласувани от 48-то Народно събрание предложения за промени в Плана за възстановяване и устойчивост по раздели</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също не може да се направи извод за наличие на частен интерес за Добрев или свързани с него лица, т.к. при анализа им се установява следното:</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 w:right="2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1. Първата предложена промяна е в раздел 2.Б. „Зелена България“, 2.Б.1.</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Нисковъглеродна икономика,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Реформа 10 „Декарбонизация на енергийния сектор“, която съгласно приетия План гласи: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Декарбонизацията на енергийния сектор ще е с акцент върху намаляването на въглеродните емисии от производството на електроенергия с 40% вземайки изходните нива от 2019 г. Целта за намаляване на емисиите трябва да бъде постигната през 2025 г. (измерено и потвърдено с данните за 2026 г.) и ще се затвърди с актуализиране на националното законодателството в Закона за ограничаване изменение на климата, с който ще се създаде и ясен план за постепенно премахване на централите на въглища до 2038 г. и ще има регулаторен таван за техните емисии на въглероден диоксид, приложим от 1 януари 2026 г. Законът също ще предвиди мерки във връзка със социалноикономическите последствия, което ще се финансират и ще са в съответствие с мерките предвидени под Фонда за справедлив преход Намаляването на емисиите на въглероден диоксид ще обхваща централите работещи на въглища, а именно ТЕЦ Марица 3 ЕАД, ТЕЦ Марица Изток 2 ЕАД, ТЕЦ Бобов дол ЕАД, AES3C Марица Изток 1, ТЕЦ Контур Глобал Марица Изток 3, ТЕЦ БРИКЕЛ ЕАД, ТЕЦ Република, ТЕЦ Русе Изток и Топлофикация Сливен. При изпълнението на целите за декарбонизация, ще се отчетат и цялостното екологично представяне на съответните инсталации по отношение на емисиите на атмосферните замърсители на прах и серен диоксид, както и съответствието с ЕС стандарти за качество на атмосферния въздух във всички зони с индикатори и норми за качеството на въздуха, където са разположени инсталациите.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Постигането на тези цели ще трябва да приключат до 30 юни 2026 г.</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и ще бъде интегрирано към Закона за ограничаване изменение на климата. Държавна помощ: Мярката не представлява държавна помощ, т.к. няма да наруши или да застраши свободната конкуренция чрез поставяне в по-благоприятно положение на някои икономически оператори спрямо други.</w:t>
      </w:r>
    </w:p>
    <w:p w:rsidR="00000000" w:rsidDel="00000000" w:rsidP="00000000" w:rsidRDefault="00000000" w:rsidRPr="00000000" w14:paraId="00000061">
      <w:pPr>
        <w:ind w:firstLine="283"/>
        <w:jc w:val="both"/>
        <w:rPr>
          <w:color w:val="000000"/>
          <w:sz w:val="24"/>
          <w:szCs w:val="24"/>
          <w:vertAlign w:val="baseline"/>
        </w:rPr>
      </w:pPr>
      <w:r w:rsidDel="00000000" w:rsidR="00000000" w:rsidRPr="00000000">
        <w:rPr>
          <w:sz w:val="24"/>
          <w:szCs w:val="24"/>
          <w:vertAlign w:val="baseline"/>
          <w:rtl w:val="0"/>
        </w:rPr>
        <w:tab/>
      </w:r>
      <w:r w:rsidDel="00000000" w:rsidR="00000000" w:rsidRPr="00000000">
        <w:rPr>
          <w:b w:val="1"/>
          <w:bCs w:val="1"/>
          <w:sz w:val="24"/>
          <w:szCs w:val="24"/>
          <w:vertAlign w:val="baseline"/>
          <w:rtl w:val="0"/>
        </w:rPr>
        <w:t xml:space="preserve">Приетото предложение за промяна предвижда: </w:t>
      </w:r>
      <w:r w:rsidDel="00000000" w:rsidR="00000000" w:rsidRPr="00000000">
        <w:rPr>
          <w:b w:val="1"/>
          <w:bCs w:val="1"/>
          <w:color w:val="000000"/>
          <w:sz w:val="24"/>
          <w:szCs w:val="24"/>
          <w:vertAlign w:val="baseline"/>
          <w:rtl w:val="0"/>
        </w:rPr>
        <w:t xml:space="preserve">1.1.</w:t>
      </w:r>
      <w:r w:rsidDel="00000000" w:rsidR="00000000" w:rsidRPr="00000000">
        <w:rPr>
          <w:color w:val="000000"/>
          <w:sz w:val="24"/>
          <w:szCs w:val="24"/>
          <w:vertAlign w:val="baseline"/>
          <w:rtl w:val="0"/>
        </w:rPr>
        <w:t xml:space="preserve"> В раздел 2.Б. „Зелена България“, 2.Б.1. Нисковъглеродна икономика, </w:t>
      </w:r>
      <w:r w:rsidDel="00000000" w:rsidR="00000000" w:rsidRPr="00000000">
        <w:rPr>
          <w:b w:val="1"/>
          <w:bCs w:val="1"/>
          <w:color w:val="000000"/>
          <w:sz w:val="24"/>
          <w:szCs w:val="24"/>
          <w:vertAlign w:val="baseline"/>
          <w:rtl w:val="0"/>
        </w:rPr>
        <w:t xml:space="preserve">Реформа 10 „Декарбонизация на енергийния сектор“ (стр.113) </w:t>
      </w:r>
      <w:r w:rsidDel="00000000" w:rsidR="00000000" w:rsidRPr="00000000">
        <w:rPr>
          <w:color w:val="000000"/>
          <w:sz w:val="24"/>
          <w:szCs w:val="24"/>
          <w:vertAlign w:val="baseline"/>
          <w:rtl w:val="0"/>
        </w:rPr>
        <w:t xml:space="preserve">да отпадне поетият ангажимент за намаляване на въглеродните емисии от производство на електроенергия с 40 % до края на 2025 г., вземайки изходните нива от 2019 г. Министерският съвет следва да предприеме такива действия, с които да гарантира привеждането на ангажиментите за декарбонизация в Реформа 10 на Националния план за възстановяване и устойчивост в съответствие с общоевропейските цели, като се осигури работата на централите на въглища без ограничение поне до 2038 г. </w:t>
      </w:r>
      <w:r w:rsidDel="00000000" w:rsidR="00000000" w:rsidRPr="00000000">
        <w:rPr>
          <w:b w:val="1"/>
          <w:bCs w:val="1"/>
          <w:color w:val="000000"/>
          <w:sz w:val="24"/>
          <w:szCs w:val="24"/>
          <w:vertAlign w:val="baseline"/>
          <w:rtl w:val="0"/>
        </w:rPr>
        <w:t xml:space="preserve">1.2. </w:t>
      </w:r>
      <w:r w:rsidDel="00000000" w:rsidR="00000000" w:rsidRPr="00000000">
        <w:rPr>
          <w:color w:val="000000"/>
          <w:sz w:val="24"/>
          <w:szCs w:val="24"/>
          <w:vertAlign w:val="baseline"/>
          <w:rtl w:val="0"/>
        </w:rPr>
        <w:t xml:space="preserve">Всички текстове от Националния план за възстановяване и устойчивост и съпътстващите документи и законодателни инициативи, свързани с поетия ангажимент за намаляване на въглеродните емисии от производство на електрическа енергия с 40 % до края на 2025 г., вземайки изходните нива от 2019 г., отпадат.</w:t>
      </w:r>
      <w:r w:rsidDel="00000000" w:rsidR="00000000" w:rsidRPr="00000000">
        <w:rPr>
          <w:color w:val="212529"/>
          <w:sz w:val="24"/>
          <w:szCs w:val="24"/>
          <w:vertAlign w:val="baseline"/>
          <w:rtl w:val="0"/>
        </w:rPr>
        <w:t xml:space="preserve"> </w:t>
      </w:r>
      <w:r w:rsidDel="00000000" w:rsidR="00000000" w:rsidRPr="00000000">
        <w:rPr>
          <w:b w:val="1"/>
          <w:bCs w:val="1"/>
          <w:color w:val="000000"/>
          <w:sz w:val="24"/>
          <w:szCs w:val="24"/>
          <w:vertAlign w:val="baseline"/>
          <w:rtl w:val="0"/>
        </w:rPr>
        <w:t xml:space="preserve">1.3.</w:t>
      </w:r>
      <w:r w:rsidDel="00000000" w:rsidR="00000000" w:rsidRPr="00000000">
        <w:rPr>
          <w:color w:val="000000"/>
          <w:sz w:val="24"/>
          <w:szCs w:val="24"/>
          <w:vertAlign w:val="baseline"/>
          <w:rtl w:val="0"/>
        </w:rPr>
        <w:t xml:space="preserve"> Във връзка с преговорите Министерският съвет да договори максимално добри условия за Република България в сектор „Енергетика“ в съответствие с мерките и възможностите за финансова подкрепа по Регламент (ЕС) 2021/241 за създаване на механизъм за възстановяване и устойчивост на новия план на Европейския съюз – REPowerEU.</w:t>
      </w:r>
    </w:p>
    <w:p w:rsidR="00000000" w:rsidDel="00000000" w:rsidP="00000000" w:rsidRDefault="00000000" w:rsidRPr="00000000" w14:paraId="00000062">
      <w:pPr>
        <w:ind w:firstLine="283"/>
        <w:jc w:val="both"/>
        <w:rPr>
          <w:color w:val="000000"/>
          <w:sz w:val="24"/>
          <w:szCs w:val="24"/>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 w:right="2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2. Втората предложена промяна е в раздел 2.Б. „Зелена България“, 2.Б.1. Нисковъглеродна икономика, Реформа 10, Инвестиция 8</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Национална инфраструктура за съхранение на електрическа енергия от ВЕИ /RESTORE/ (стр. 115),</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предвиждаща по приетия план: Целта на проекта RESTORE е да допринесе значително за решаването на проблемите с невъзможността на възобновяемите енергийни източници да участват пълноценно в балансирането на електроенергийната система, покриването на върховите товари и предоставянето на пазарен принцип на услуги за гъвкавост и допълнителни услуги чрез закупуване, инсталиране и въвеждане в експлоатация на национална инфраструктура от съоръжения за съхранение на електрическа енергия с общ заряден енергиен капацитет от 6000 MWh. Съоръженията (състоящи се от акумулатори, инвертори, трансформатори, силова електроника/интелигентни електронни устройства и управляваща автоматика) ще бъдат стратегически разпределени равномерно на територията на Р България, разположени в близост до инсталираните и предстоящите да бъдат разгърнати възобновяеми генериращи мощности. По този начин проектът цели в частност да осигури значителен принос за максималното оползотворяване на произвежданата от налични и бъдещи ВЕИ електроенергия и нейното пренасяне до основните центрове на потребление с минимални загуби и според действителния товар в реално време, включително на децентрализирано равнище. Нещо повече, чрез тези съоръжения проектът ще способства значително за комплексната реализация на концепцията за интелигентни мрежи, осигурявайки висока степен на наблюдаемост, точност на оперативното планиране, маневреност и бързодействие на ЕЕС, включително за предотвратяване и/или овладяване на аварийни събития. Операторът/Операторите на предвидените по проекта съоръжения за съхранение няма да участват на енергийния и балансиращия пазари, а единствено и само ще осигуряват равнопоставена и недискриминационна възможност на търговски участник/производител и производителите на възобновяема електроенергия на съхраняват генерираната от тях енергия и да участват пълноценно и пълноправно на тези пазари, катализирайки както пазарната конкурентоспособност, ефективност и степен на предлагане, така и сигурността и адаптивността на електроенергийната система, а оттам и на електроснабдяването като цяло. Операторът/Операторите ще предоставят недискриминационен достъп до инфраструктурата за различни видове услуги като напр. съхранение на енергия от трети страни чрез договори за стандартен достъп за съхранение на енергия, с възможно приложение на смарт договори (smart contracts), като ще предоставят своята инфраструктура за „наем“ по стандартизирани търговски условия и графици, като в тези системи се може да се съхранява енергия от излишъци или други услуги по желание на търговски участник и производители на електрическа енергия, разчитайки на пазарни сигнали и стимули за участниците. Чрез предвидените по проекта 116 съоръжения за съхранение националният преносен оператор и операторите на разпределителни мрежи на територията на Р България ще могат да интегрират по максимално ефективен, икономичен и климатично неутрален начин присъединените и планираните за присъединяване към мрежите им ВЕИ. Общият планиран ресурс е 1 562.8 милиона лева за сметка на Механизма за възстановяване и устойчивост с период на изпълнение 2022-2026 г. Държавна помощ: Проектът ще бъде нотифициран съгласно Насоките на ЕК относно държавната помощ в областта на климата, опазването на околната среда и енергетиката от 2022г.</w:t>
      </w:r>
    </w:p>
    <w:p w:rsidR="00000000" w:rsidDel="00000000" w:rsidP="00000000" w:rsidRDefault="00000000" w:rsidRPr="00000000" w14:paraId="00000064">
      <w:pPr>
        <w:ind w:firstLine="283"/>
        <w:jc w:val="both"/>
        <w:rPr>
          <w:color w:val="212529"/>
          <w:sz w:val="24"/>
          <w:szCs w:val="24"/>
          <w:vertAlign w:val="baseline"/>
        </w:rPr>
      </w:pPr>
      <w:r w:rsidDel="00000000" w:rsidR="00000000" w:rsidRPr="00000000">
        <w:rPr>
          <w:b w:val="1"/>
          <w:bCs w:val="1"/>
          <w:color w:val="000000"/>
          <w:sz w:val="24"/>
          <w:szCs w:val="24"/>
          <w:vertAlign w:val="baseline"/>
          <w:rtl w:val="0"/>
        </w:rPr>
        <w:tab/>
        <w:t xml:space="preserve">Приетото предложение за промяна предвижда: II. 1.</w:t>
      </w:r>
      <w:r w:rsidDel="00000000" w:rsidR="00000000" w:rsidRPr="00000000">
        <w:rPr>
          <w:color w:val="000000"/>
          <w:sz w:val="24"/>
          <w:szCs w:val="24"/>
          <w:vertAlign w:val="baseline"/>
          <w:rtl w:val="0"/>
        </w:rPr>
        <w:t xml:space="preserve"> В раздел 2.Б. „Зелена България“, 2.Б.1. Нисковъглеродна икономика, Реформа 10, Инвестиция 8: Национална инфраструктура за съхранение на електрическа енергия от ВЕИ /RESTORE/ (стр. 115), да се преработи в грантова схема за батерии за физически и юридически лица с интензитет на помощта 50 %.</w:t>
      </w:r>
      <w:r w:rsidDel="00000000" w:rsidR="00000000" w:rsidRPr="00000000">
        <w:rPr>
          <w:color w:val="212529"/>
          <w:sz w:val="24"/>
          <w:szCs w:val="24"/>
          <w:vertAlign w:val="baseline"/>
          <w:rtl w:val="0"/>
        </w:rPr>
        <w:t xml:space="preserve"> </w:t>
      </w:r>
      <w:r w:rsidDel="00000000" w:rsidR="00000000" w:rsidRPr="00000000">
        <w:rPr>
          <w:b w:val="1"/>
          <w:bCs w:val="1"/>
          <w:color w:val="000000"/>
          <w:sz w:val="24"/>
          <w:szCs w:val="24"/>
          <w:vertAlign w:val="baseline"/>
          <w:rtl w:val="0"/>
        </w:rPr>
        <w:t xml:space="preserve">2.</w:t>
      </w:r>
      <w:r w:rsidDel="00000000" w:rsidR="00000000" w:rsidRPr="00000000">
        <w:rPr>
          <w:color w:val="000000"/>
          <w:sz w:val="24"/>
          <w:szCs w:val="24"/>
          <w:vertAlign w:val="baseline"/>
          <w:rtl w:val="0"/>
        </w:rPr>
        <w:t xml:space="preserve"> Развитие на електропреносната и електроразпределителните мрежи.</w:t>
      </w:r>
      <w:r w:rsidDel="00000000" w:rsidR="00000000" w:rsidRPr="00000000">
        <w:rPr>
          <w:rtl w:val="0"/>
        </w:rPr>
      </w:r>
    </w:p>
    <w:p w:rsidR="00000000" w:rsidDel="00000000" w:rsidP="00000000" w:rsidRDefault="00000000" w:rsidRPr="00000000" w14:paraId="00000065">
      <w:pPr>
        <w:ind w:firstLine="283"/>
        <w:jc w:val="both"/>
        <w:rPr>
          <w:color w:val="000000"/>
          <w:sz w:val="24"/>
          <w:szCs w:val="24"/>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 w:right="2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3. Третата предложена промяна е</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в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раздел 2.Б. „Зелена България“, 2.Б.1. Нисковъглеродна икономика, Реформа 10, Инвестиция 7: Развитие на използването на геотермална енергия в България за производство на електрическа и топлинна енергия</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Според действащия План Проектът се състои в актуализиране на информацията за геотермалния потенциал в страната и изготвяне на проектно решение за пилотна система за използване на геотермална енергия за комбинирано производство на 10MW електричество и 30MW топлина. С цел обучение на специалисти и разпространение на знания за съвременни икономически ефективни и екологични технологии за производство и използване на чиста енергия, проектът предвижда и изграждането на специализирана лаборатория в университет за изследвания и обучение на тема комбинирани системи за геотермална енергия. Интегрираният национален план Енергетика-Климат на Република България 2021-2030 г. поставя за цел страната да увеличи своя дял на енергия, произведена от възобновяеми енергийни източници, до поне 27%. При изпълнението на тези амбициозни цели този проект ще създаде възможност за изучаване на неизползвания към момента възобновяем източник – геотермалната енергия, и ще създаде условия за ефективно бъдещо използване на неговия потенциал за производство на топлинна и електрическа енергия чрез иновативни системи, осигуряващи чиста енергия за дома, индустрията, селско стопанство, балнеология и туризъм. Анализът на потенциала за развитие на геотермална енергия на територията на цялата страна ще даде възможност за намиране на решения на съществуващите проблеми, като преодоляване на лошото техническо състояние на повечето от 12-те топлофикационни компании в страната. Развитието на тази технология ще помогне за преодоляване на проблемите, свързани с енергийната бедност и замърсяването на въздуха поради изгарянето на твърди горива, и ще улесни търсенето и прилагането на решения за икономическа диверсификация на местно ниво според геотермалния потенциал в страната. Освен това, създаването на лаборатория за съвременни изследвания, разработки и приложни дейности ще развие експертиза, ще разшири обхвата на изследванията и ще осигури основа за придобиване на качествени знания, умения и компетенции на студенти, изследователи и специалисти в областта на съвременните технологии за производство на електричество, топлина и охлаждане от геотермална и слънчева енергия.</w:t>
      </w:r>
    </w:p>
    <w:p w:rsidR="00000000" w:rsidDel="00000000" w:rsidP="00000000" w:rsidRDefault="00000000" w:rsidRPr="00000000" w14:paraId="00000067">
      <w:pPr>
        <w:ind w:firstLine="283"/>
        <w:jc w:val="both"/>
        <w:rPr>
          <w:color w:val="000000"/>
          <w:sz w:val="24"/>
          <w:szCs w:val="24"/>
          <w:vertAlign w:val="baseline"/>
        </w:rPr>
      </w:pPr>
      <w:r w:rsidDel="00000000" w:rsidR="00000000" w:rsidRPr="00000000">
        <w:rPr>
          <w:b w:val="1"/>
          <w:bCs w:val="1"/>
          <w:color w:val="000000"/>
          <w:sz w:val="24"/>
          <w:szCs w:val="24"/>
          <w:vertAlign w:val="baseline"/>
          <w:rtl w:val="0"/>
        </w:rPr>
        <w:tab/>
        <w:t xml:space="preserve">Приетото предложение за промяна предвижда: </w:t>
      </w:r>
      <w:r w:rsidDel="00000000" w:rsidR="00000000" w:rsidRPr="00000000">
        <w:rPr>
          <w:color w:val="000000"/>
          <w:sz w:val="24"/>
          <w:szCs w:val="24"/>
          <w:vertAlign w:val="baseline"/>
          <w:rtl w:val="0"/>
        </w:rPr>
        <w:t xml:space="preserve">В раздел 2.Б. „Зелена България“, 2.Б.1. Нисковъглеродна икономика, Инвестиция 7: Развитие на използването на геотермална енергия в България за производство на електрическа и топлинна енергия, 50 % от сумата да се пренасочи в раздел 2.Б. „Зелена България“, 2.Б.1. Нисковъглеродна икономика, Инвестиция 1: Енергийна ефективност в сграден фонд – за многофамилни жилищни сгради, а останалата сума да се преформулира като грантова схема за физически и юридически лица с интензитет на помощта 50 %.  Във връзка с прието предложение за промяна: възлага на Министерския съвет чрез заместник министър-председателя по управление на европейските средства, чрез Централно координационно звено и в съответствие с чл. 21 на Регламент 2021/241 да осигури пренасочване на всички текущо спестени средства при изпълнение на проектите от Националния план за възстановяване и устойчивост, включително при тяхно приключване и/или прекратяване към „Зелена България“, компонент 4. Нисковъглеродна икономика, Проект „Подкрепа за устойчиво енергийно обновяване на жилищния сграден фонд“.; Възлага на Структурата за наблюдение и докладване по Националния план за възстановяване и устойчивост в Министерството на регионалното развитие и благоустройството да преразгледа за следващи приеми по компонент 4. Нисковъглеродна икономика, Проект „Подкрепа за устойчиво енергийно обновяване на жилищния сграден фонд“, както следва:</w:t>
      </w:r>
    </w:p>
    <w:p w:rsidR="00000000" w:rsidDel="00000000" w:rsidP="00000000" w:rsidRDefault="00000000" w:rsidRPr="00000000" w14:paraId="00000068">
      <w:pPr>
        <w:ind w:firstLine="283"/>
        <w:jc w:val="both"/>
        <w:rPr>
          <w:color w:val="212529"/>
          <w:sz w:val="24"/>
          <w:szCs w:val="24"/>
          <w:vertAlign w:val="baseline"/>
        </w:rPr>
      </w:pPr>
      <w:r w:rsidDel="00000000" w:rsidR="00000000" w:rsidRPr="00000000">
        <w:rPr>
          <w:color w:val="000000"/>
          <w:sz w:val="24"/>
          <w:szCs w:val="24"/>
          <w:vertAlign w:val="baseline"/>
          <w:rtl w:val="0"/>
        </w:rPr>
        <w:t xml:space="preserve">– бюджетните лимити на териториално ниво (общини) с оглед осигуряване провеждането на балансирана регионална политика;</w:t>
      </w:r>
      <w:r w:rsidDel="00000000" w:rsidR="00000000" w:rsidRPr="00000000">
        <w:rPr>
          <w:rtl w:val="0"/>
        </w:rPr>
      </w:r>
    </w:p>
    <w:p w:rsidR="00000000" w:rsidDel="00000000" w:rsidP="00000000" w:rsidRDefault="00000000" w:rsidRPr="00000000" w14:paraId="00000069">
      <w:pPr>
        <w:ind w:firstLine="283"/>
        <w:jc w:val="both"/>
        <w:rPr>
          <w:color w:val="212529"/>
          <w:sz w:val="24"/>
          <w:szCs w:val="24"/>
          <w:vertAlign w:val="baseline"/>
        </w:rPr>
      </w:pPr>
      <w:r w:rsidDel="00000000" w:rsidR="00000000" w:rsidRPr="00000000">
        <w:rPr>
          <w:color w:val="000000"/>
          <w:sz w:val="24"/>
          <w:szCs w:val="24"/>
          <w:vertAlign w:val="baseline"/>
          <w:rtl w:val="0"/>
        </w:rPr>
        <w:t xml:space="preserve">– допустимостта на еднофамилните жилищни сгради;</w:t>
      </w:r>
      <w:r w:rsidDel="00000000" w:rsidR="00000000" w:rsidRPr="00000000">
        <w:rPr>
          <w:rtl w:val="0"/>
        </w:rPr>
      </w:r>
    </w:p>
    <w:p w:rsidR="00000000" w:rsidDel="00000000" w:rsidP="00000000" w:rsidRDefault="00000000" w:rsidRPr="00000000" w14:paraId="0000006A">
      <w:pPr>
        <w:ind w:firstLine="283"/>
        <w:jc w:val="both"/>
        <w:rPr>
          <w:color w:val="212529"/>
          <w:sz w:val="24"/>
          <w:szCs w:val="24"/>
          <w:vertAlign w:val="baseline"/>
        </w:rPr>
      </w:pPr>
      <w:r w:rsidDel="00000000" w:rsidR="00000000" w:rsidRPr="00000000">
        <w:rPr>
          <w:color w:val="000000"/>
          <w:sz w:val="24"/>
          <w:szCs w:val="24"/>
          <w:vertAlign w:val="baseline"/>
          <w:rtl w:val="0"/>
        </w:rPr>
        <w:t xml:space="preserve">– самоучастието на крайните бенефициенти, включително предвид предстояща реформа, дефиниция и критерии за „енергийна бедност“ за домакинствата в Закона за енергетиката.</w:t>
      </w:r>
      <w:r w:rsidDel="00000000" w:rsidR="00000000" w:rsidRPr="00000000">
        <w:rPr>
          <w:rtl w:val="0"/>
        </w:rPr>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56" w:before="0" w:line="240" w:lineRule="auto"/>
        <w:ind w:left="20" w:right="20" w:firstLine="54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Следователно,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при внимателния анализ на всички направени предложения за промени в Плана за възстановяване и устойчивост по раздели се</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налага извода за защита на обществения и национален интерес</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56" w:before="0" w:line="240" w:lineRule="auto"/>
        <w:ind w:left="20" w:right="20" w:firstLine="54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подкрепа на този извод е и факта на синхронизираното гласуване на направените предложения за промени от представителите на всички парламентарни групи, както в Комисията по енергетика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(17 гласа „за“, при присъстващи 17 народни представители),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така и при приемането на Решението в пленарна зала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(прието със 175 гласа „за“, 2 гласа „против“ и 7 гласа „въздържал се“, при 184 участвали в гласуването народни представители</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56" w:before="0" w:line="240" w:lineRule="auto"/>
        <w:ind w:left="20" w:right="20" w:firstLine="547"/>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 важността на приетото от 48-то Народно събрание Решение, с което задължава Министерския съвет да промени Националния план за възстановяване и устойчивост в част „Енергетика“</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свидетелстват и еднопосочните изказвания по време на дебатите за приемането му на представители от различните парламентарните групи в негова подкрепа, като защитаващо обществените и национални интереси,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(видно от Стенографския протокол от проведеното на 12.01.2023 г. заседание на 48-то Народно събрание</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-по реда на изказванията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56" w:before="0" w:line="240" w:lineRule="auto"/>
        <w:ind w:left="20" w:right="20" w:firstLine="54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И.М. („Възраждане“): “...Въпреки всичко ние смятаме, че предложените текстове, около които късно снощи се обединихме са добри и към момента ние от Възраждане ще подкрепим както тях, така и Проекта на решение в цялост…“</w:t>
      </w:r>
      <w:r w:rsidDel="00000000" w:rsidR="00000000" w:rsidRPr="00000000">
        <w:rPr>
          <w:rtl w:val="0"/>
        </w:rPr>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56" w:before="0" w:line="240" w:lineRule="auto"/>
        <w:ind w:left="20" w:right="20" w:firstLine="54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Д.С. („БСП за България“): „…Все пак, искам и аз да изразя задоволство от името на БСП за проведената Комисия (по Енергетика) – за консенсуса, който постигнахме, тъй като рядко се е защитавал така националния интерес и може би ние показваме как се защитава националният ни интерес…Така че се радвам, че постигнахме консенсус, че се обединихме, че определени политически сили направиха отстъпка в името на общата цел, защото в крайна сметка колкото и да има противопоставяне между нас, всеки е дал своя принос наистина за защитата и за развитието на българската енергетика през годините...“</w:t>
      </w:r>
      <w:r w:rsidDel="00000000" w:rsidR="00000000" w:rsidRPr="00000000">
        <w:rPr>
          <w:rtl w:val="0"/>
        </w:rPr>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56" w:before="0" w:line="240" w:lineRule="auto"/>
        <w:ind w:left="20" w:right="20" w:firstLine="54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В.Т. („Продължаваме промяната“): “…Принципно ние се обединихме около една тема, а именно запазване на мощностите в Маришкия басейн. Това е най-високият приоритет и както председателят на Енергийната комисия господин Добрев сподели, това е темата, по която безспорно има обединение на всички политически сили…“.</w:t>
      </w: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56" w:before="0" w:line="240" w:lineRule="auto"/>
        <w:ind w:left="20" w:right="20" w:firstLine="54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К.П. („Продължаваме промяната“): “…Радвам се за тона, в който днешната дискусия протича. Това, за което също се радвам – виждаме, че имаме общи приоритети и за въглищните централи, максимално каквото България може да направи да бъдат запазени, както и открихме заедно, че наистина е важно да опитаме геотермалите да ги експлоатираме максимално. Това е чиста българска енергия, която е базова, така че всъщност е един добър приоритет…“.</w:t>
      </w:r>
      <w:r w:rsidDel="00000000" w:rsidR="00000000" w:rsidRPr="00000000">
        <w:rPr>
          <w:rtl w:val="0"/>
        </w:rPr>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56" w:before="0" w:line="240" w:lineRule="auto"/>
        <w:ind w:left="20" w:right="20" w:firstLine="54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Р.А. („Движение за права и свободи“): „…Искам да започна с благодарностите за работата, която свърши Комисията по енергетика вчера. Искам да поздравя колегите, които отстъпиха от някои крайни изисквания, и особено госпожа И.М., която постави началото на едно общо решение. Днес може би за пръв път, откакто поне аз съм народен представител, има внесено решение, което е подписано от всички политически формации със загриженост и с идеята да постигнем крайната цел…Имайки предвид всичко това, още веднъж „Движението за права и свободи“, както сме били последователни, и сега ще подкрепим това решение…“. </w:t>
      </w:r>
      <w:r w:rsidDel="00000000" w:rsidR="00000000" w:rsidRPr="00000000">
        <w:rPr>
          <w:rtl w:val="0"/>
        </w:rPr>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56" w:before="0" w:line="240" w:lineRule="auto"/>
        <w:ind w:left="20" w:right="20" w:firstLine="54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А.С. („Демократична България“): „…“Демократична България“ е част от консенсуса, постигнат на заседанието на Комисията по енергетика. “Демократична България гласува всяка точка от това решение…И накрая искам да завърша с това, че всички днес след това гласуване ще излезем с открити лица пред нашите избиратели и спокойно ще можем да кажем, че свършихме нещо полезно за България…“</w:t>
      </w:r>
      <w:r w:rsidDel="00000000" w:rsidR="00000000" w:rsidRPr="00000000">
        <w:rPr>
          <w:rtl w:val="0"/>
        </w:rPr>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56" w:before="0" w:line="240" w:lineRule="auto"/>
        <w:ind w:left="20" w:right="20" w:firstLine="54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Г.С. („Български възход“): „…Аз съм горд от това, което вчера постигнахме в Енергийната комисия – едно безапелационно обединение върху темата с въглищните централи, която, както редица пъти от близо десетилетие аз лично повтарям, че те дават една безценна услуга и тази услуга ние ще запазим…, така че аз няма да поздравя отделни личности, а ще поздравя всички Вас с решението и със символа, който кичи тази сграда, а именно „Съединението прави силата“…</w:t>
      </w:r>
      <w:r w:rsidDel="00000000" w:rsidR="00000000" w:rsidRPr="00000000">
        <w:rPr>
          <w:rtl w:val="0"/>
        </w:rPr>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56" w:before="0" w:line="240" w:lineRule="auto"/>
        <w:ind w:left="20" w:right="20" w:firstLine="54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Р.К. (ГЕРБ):“…Първо искам да изразя задоволството си от решението, което ще вземем днес, защото след работата на Комисията по енергетика видях желание във всички колеги да решим един проблем, който е важен за цялото българско общество…“</w:t>
      </w:r>
      <w:r w:rsidDel="00000000" w:rsidR="00000000" w:rsidRPr="00000000">
        <w:rPr>
          <w:rtl w:val="0"/>
        </w:rPr>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56" w:before="0" w:line="240" w:lineRule="auto"/>
        <w:ind w:left="20" w:right="20" w:firstLine="54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Т.П. (ГЕРБ): „…Аз на свой ред също бих искала да благодаря на всички колеги от Енергийната комисия, на всички колеги в залата, които днес ще подкрепят това решение, защото наистина е изключително важно за България. Решение, което е пряко свързано с нашата национална и енергийна сигурност…“</w:t>
      </w:r>
      <w:r w:rsidDel="00000000" w:rsidR="00000000" w:rsidRPr="00000000">
        <w:rPr>
          <w:rtl w:val="0"/>
        </w:rPr>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56" w:before="0" w:line="240" w:lineRule="auto"/>
        <w:ind w:left="20" w:right="20" w:firstLine="54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всичко гореизложено не може да се направи извод, че при упражняване на правомощията му по служба като народен представител в 48-то Народно събрание, свързани с внасянето на предложение за приемане на Решение, с което се задължава Министерския съвет да промени Плана за възстановяване и устойчивост в част „Енергетика“, както и с участието му в приемането на същото в Комисията по енергетика и в пленарна зала на 12.01.2023 г., Делян Добрев е действал в частен интерес – негов или на свързани с него лица.</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56" w:before="0" w:line="240" w:lineRule="auto"/>
        <w:ind w:left="20" w:right="20" w:firstLine="547"/>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Съвкупността от събраните по преписката доказателства налага извода, че при упражняване на посочените по-горе правомощия като народен представител,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Делян Добрев е действал в обществен интерес.</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56" w:before="0" w:line="240" w:lineRule="auto"/>
        <w:ind w:left="20" w:right="20" w:firstLine="547"/>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горното следва, че са налице само две от трите кумулативни предпоставки за възникване на конфликт на интереси – лице, заемащо висша/ публична длъжност (Делян Добрев) и упражнени от същото правомощия по служба (внесеното предложение в 48-то Народно събрание за приемане на Решение, с което се задължава Министерския съвет да промени Плана за възстановяване и устойчивост в част „Енергетика“, участието в обсъждането и приемането му от Комисията по енергетика и в пленарна зала).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Липсва обаче третата предпоставка – наличието на релевантен частен интерес – личен за лицето, заемащо публична длъжност или в полза на свързани с него лица.</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56" w:before="0" w:line="240" w:lineRule="auto"/>
        <w:ind w:left="20" w:right="20" w:firstLine="547"/>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Липсата на която и да е от трите предпоставки за наличието на конфликт на интереси води и до невъзможност за неговото проявление, т.е. до липсата на конфликт на интереси.</w:t>
      </w:r>
    </w:p>
    <w:p w:rsidR="00000000" w:rsidDel="00000000" w:rsidP="00000000" w:rsidRDefault="00000000" w:rsidRPr="00000000" w14:paraId="0000007B">
      <w:pPr>
        <w:ind w:firstLine="567"/>
        <w:jc w:val="both"/>
        <w:rPr>
          <w:sz w:val="24"/>
          <w:szCs w:val="24"/>
          <w:vertAlign w:val="baseline"/>
        </w:rPr>
      </w:pPr>
      <w:r w:rsidDel="00000000" w:rsidR="00000000" w:rsidRPr="00000000">
        <w:rPr>
          <w:rtl w:val="0"/>
        </w:rPr>
      </w:r>
    </w:p>
    <w:p w:rsidR="00000000" w:rsidDel="00000000" w:rsidP="00000000" w:rsidRDefault="00000000" w:rsidRPr="00000000" w14:paraId="0000007C">
      <w:pPr>
        <w:ind w:firstLine="567"/>
        <w:jc w:val="both"/>
        <w:rPr>
          <w:sz w:val="24"/>
          <w:szCs w:val="24"/>
          <w:vertAlign w:val="baseline"/>
        </w:rPr>
      </w:pPr>
      <w:r w:rsidDel="00000000" w:rsidR="00000000" w:rsidRPr="00000000">
        <w:rPr>
          <w:sz w:val="24"/>
          <w:szCs w:val="24"/>
          <w:vertAlign w:val="baseline"/>
          <w:rtl w:val="0"/>
        </w:rPr>
        <w:t xml:space="preserve">Комисията не споделя и наведените в сигнала съмнения, </w:t>
      </w:r>
      <w:r w:rsidDel="00000000" w:rsidR="00000000" w:rsidRPr="00000000">
        <w:rPr>
          <w:color w:val="000000"/>
          <w:sz w:val="24"/>
          <w:szCs w:val="24"/>
          <w:vertAlign w:val="baseline"/>
          <w:rtl w:val="0"/>
        </w:rPr>
        <w:t xml:space="preserve">че Делян Добрев в качеството си на </w:t>
      </w:r>
      <w:r w:rsidDel="00000000" w:rsidR="00000000" w:rsidRPr="00000000">
        <w:rPr>
          <w:sz w:val="24"/>
          <w:szCs w:val="24"/>
          <w:vertAlign w:val="baseline"/>
          <w:rtl w:val="0"/>
        </w:rPr>
        <w:t xml:space="preserve">лице, заемащо висша публична длъжност, </w:t>
      </w:r>
      <w:r w:rsidDel="00000000" w:rsidR="00000000" w:rsidRPr="00000000">
        <w:rPr>
          <w:color w:val="000000"/>
          <w:sz w:val="24"/>
          <w:szCs w:val="24"/>
          <w:vertAlign w:val="baseline"/>
          <w:rtl w:val="0"/>
        </w:rPr>
        <w:t xml:space="preserve">е използвал служебното си положение за да окаже влияние в частен интерес върху други органи или лица при подготовката и приемането на актове, в случая Решението от 12.01.2023 г. на 48-то Народно събрание,</w:t>
      </w:r>
      <w:r w:rsidDel="00000000" w:rsidR="00000000" w:rsidRPr="00000000">
        <w:rPr>
          <w:sz w:val="24"/>
          <w:szCs w:val="24"/>
          <w:vertAlign w:val="baseline"/>
          <w:rtl w:val="0"/>
        </w:rPr>
        <w:t xml:space="preserve"> в хипотезата на чл.57 ЗПКОНПИ (отм.), според който изпълнителното деяние е именно оказване на влияние върху други органи или лица, като нормата забранява използване на служебното положение за оказване на описаното деяние. </w:t>
      </w:r>
    </w:p>
    <w:p w:rsidR="00000000" w:rsidDel="00000000" w:rsidP="00000000" w:rsidRDefault="00000000" w:rsidRPr="00000000" w14:paraId="0000007D">
      <w:pPr>
        <w:ind w:firstLine="567"/>
        <w:jc w:val="both"/>
        <w:rPr>
          <w:sz w:val="24"/>
          <w:szCs w:val="24"/>
          <w:vertAlign w:val="baseline"/>
        </w:rPr>
      </w:pPr>
      <w:r w:rsidDel="00000000" w:rsidR="00000000" w:rsidRPr="00000000">
        <w:rPr>
          <w:sz w:val="24"/>
          <w:szCs w:val="24"/>
          <w:vertAlign w:val="baseline"/>
          <w:rtl w:val="0"/>
        </w:rPr>
        <w:t xml:space="preserve">В случая влиянието следва да се разглежда, като оказване на определено въздействие от лицето, заемащо висша/ публична длъжност върху друго лице от публичния сектор, с цел постигане на определен резултат в частен интерес. </w:t>
      </w:r>
      <w:r w:rsidDel="00000000" w:rsidR="00000000" w:rsidRPr="00000000">
        <w:rPr>
          <w:b w:val="1"/>
          <w:bCs w:val="1"/>
          <w:sz w:val="24"/>
          <w:szCs w:val="24"/>
          <w:vertAlign w:val="baseline"/>
          <w:rtl w:val="0"/>
        </w:rPr>
        <w:t xml:space="preserve">Съществено е оказващият влияние да разполага с лостовете за въздействие върху втория субект, т.е. лицата да</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се намират в условията на субординация помежду си</w:t>
      </w:r>
      <w:r w:rsidDel="00000000" w:rsidR="00000000" w:rsidRPr="00000000">
        <w:rPr>
          <w:sz w:val="24"/>
          <w:szCs w:val="24"/>
          <w:vertAlign w:val="baseline"/>
          <w:rtl w:val="0"/>
        </w:rPr>
        <w:t xml:space="preserve"> – подчиненост и съподчиненост, за да е възможно оказването на влияние от по-високостоящия субект на подчинения. </w:t>
      </w:r>
    </w:p>
    <w:p w:rsidR="00000000" w:rsidDel="00000000" w:rsidP="00000000" w:rsidRDefault="00000000" w:rsidRPr="00000000" w14:paraId="0000007E">
      <w:pPr>
        <w:ind w:firstLine="567"/>
        <w:jc w:val="both"/>
        <w:rPr>
          <w:b w:val="0"/>
          <w:bCs w:val="0"/>
          <w:sz w:val="24"/>
          <w:szCs w:val="24"/>
          <w:vertAlign w:val="baseline"/>
        </w:rPr>
      </w:pPr>
      <w:r w:rsidDel="00000000" w:rsidR="00000000" w:rsidRPr="00000000">
        <w:rPr>
          <w:sz w:val="24"/>
          <w:szCs w:val="24"/>
          <w:vertAlign w:val="baseline"/>
          <w:rtl w:val="0"/>
        </w:rPr>
        <w:t xml:space="preserve">От събраните по преписката доказателства не се установява Делян Добрев </w:t>
      </w:r>
      <w:r w:rsidDel="00000000" w:rsidR="00000000" w:rsidRPr="00000000">
        <w:rPr>
          <w:color w:val="000000"/>
          <w:sz w:val="24"/>
          <w:szCs w:val="24"/>
          <w:vertAlign w:val="baseline"/>
          <w:rtl w:val="0"/>
        </w:rPr>
        <w:t xml:space="preserve">да е използвал служебното си положение или да е упражнил влияние в частен интерес – свой или на свързано с него лице. Това е така, тъй като </w:t>
      </w:r>
      <w:r w:rsidDel="00000000" w:rsidR="00000000" w:rsidRPr="00000000">
        <w:rPr>
          <w:sz w:val="24"/>
          <w:szCs w:val="24"/>
          <w:vertAlign w:val="baseline"/>
          <w:rtl w:val="0"/>
        </w:rPr>
        <w:t xml:space="preserve">в качеството си на </w:t>
      </w:r>
      <w:r w:rsidDel="00000000" w:rsidR="00000000" w:rsidRPr="00000000">
        <w:rPr>
          <w:color w:val="000000"/>
          <w:sz w:val="24"/>
          <w:szCs w:val="24"/>
          <w:vertAlign w:val="baseline"/>
          <w:rtl w:val="0"/>
        </w:rPr>
        <w:t xml:space="preserve">народен представител в 48-то Народно събрание </w:t>
      </w:r>
      <w:r w:rsidDel="00000000" w:rsidR="00000000" w:rsidRPr="00000000">
        <w:rPr>
          <w:sz w:val="24"/>
          <w:szCs w:val="24"/>
          <w:vertAlign w:val="baseline"/>
          <w:rtl w:val="0"/>
        </w:rPr>
        <w:t xml:space="preserve">и лице, заемащо висша публична длъжност, Добрев не притежава лостове за въздействие и не би могъл да използва служебното си положение за да оказва влияние върху останалите народни представители, доколкото същите са равнопоставени с него и липсва субординация помежду им. </w:t>
      </w:r>
      <w:r w:rsidDel="00000000" w:rsidR="00000000" w:rsidRPr="00000000">
        <w:rPr>
          <w:rtl w:val="0"/>
        </w:rPr>
      </w:r>
    </w:p>
    <w:p w:rsidR="00000000" w:rsidDel="00000000" w:rsidP="00000000" w:rsidRDefault="00000000" w:rsidRPr="00000000" w14:paraId="0000007F">
      <w:pPr>
        <w:ind w:firstLine="567"/>
        <w:jc w:val="both"/>
        <w:rPr>
          <w:sz w:val="24"/>
          <w:szCs w:val="24"/>
          <w:vertAlign w:val="baseline"/>
        </w:rPr>
      </w:pPr>
      <w:r w:rsidDel="00000000" w:rsidR="00000000" w:rsidRPr="00000000">
        <w:rPr>
          <w:rtl w:val="0"/>
        </w:rPr>
      </w:r>
    </w:p>
    <w:p w:rsidR="00000000" w:rsidDel="00000000" w:rsidP="00000000" w:rsidRDefault="00000000" w:rsidRPr="00000000" w14:paraId="00000080">
      <w:pPr>
        <w:ind w:firstLine="567"/>
        <w:jc w:val="both"/>
        <w:rPr>
          <w:b w:val="0"/>
          <w:bCs w:val="0"/>
          <w:sz w:val="24"/>
          <w:szCs w:val="24"/>
          <w:vertAlign w:val="baseline"/>
        </w:rPr>
      </w:pPr>
      <w:r w:rsidDel="00000000" w:rsidR="00000000" w:rsidRPr="00000000">
        <w:rPr>
          <w:sz w:val="24"/>
          <w:szCs w:val="24"/>
          <w:vertAlign w:val="baseline"/>
          <w:rtl w:val="0"/>
        </w:rPr>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частен интерес по отношение на Делян *** Добрев, в качеството му на народен представител в 48-то Народно събрание, негов или на свързано с него лице.</w:t>
      </w:r>
      <w:r w:rsidDel="00000000" w:rsidR="00000000" w:rsidRPr="00000000">
        <w:rPr>
          <w:rtl w:val="0"/>
        </w:rPr>
      </w:r>
    </w:p>
    <w:p w:rsidR="00000000" w:rsidDel="00000000" w:rsidP="00000000" w:rsidRDefault="00000000" w:rsidRPr="00000000" w14:paraId="00000081">
      <w:pPr>
        <w:ind w:firstLine="567"/>
        <w:jc w:val="both"/>
        <w:rPr>
          <w:sz w:val="24"/>
          <w:szCs w:val="24"/>
          <w:vertAlign w:val="baseline"/>
        </w:rPr>
      </w:pPr>
      <w:r w:rsidDel="00000000" w:rsidR="00000000" w:rsidRPr="00000000">
        <w:rPr>
          <w:rtl w:val="0"/>
        </w:rPr>
      </w:r>
    </w:p>
    <w:p w:rsidR="00000000" w:rsidDel="00000000" w:rsidP="00000000" w:rsidRDefault="00000000" w:rsidRPr="00000000" w14:paraId="00000082">
      <w:pPr>
        <w:ind w:firstLine="567"/>
        <w:jc w:val="both"/>
        <w:rPr>
          <w:b w:val="0"/>
          <w:bCs w:val="0"/>
          <w:sz w:val="24"/>
          <w:szCs w:val="24"/>
          <w:vertAlign w:val="baseline"/>
        </w:rPr>
      </w:pPr>
      <w:r w:rsidDel="00000000" w:rsidR="00000000" w:rsidRPr="00000000">
        <w:rPr>
          <w:sz w:val="24"/>
          <w:szCs w:val="24"/>
          <w:vertAlign w:val="baseline"/>
          <w:rtl w:val="0"/>
        </w:rPr>
        <w:t xml:space="preserve">Съгласно § 5, ал.1 от ПЗР на ЗПК неприключилите до влизането в сила на този закон производства по установяване на конфликт на интереси и налагане на административни наказания, се довършват по досегашния ред от Комисията.</w:t>
      </w:r>
      <w:r w:rsidDel="00000000" w:rsidR="00000000" w:rsidRPr="00000000">
        <w:rPr>
          <w:rtl w:val="0"/>
        </w:rPr>
      </w:r>
    </w:p>
    <w:p w:rsidR="00000000" w:rsidDel="00000000" w:rsidP="00000000" w:rsidRDefault="00000000" w:rsidRPr="00000000" w14:paraId="00000083">
      <w:pPr>
        <w:ind w:firstLine="567"/>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84">
      <w:pPr>
        <w:ind w:firstLine="567"/>
        <w:jc w:val="both"/>
        <w:rPr>
          <w:b w:val="0"/>
          <w:bCs w:val="0"/>
          <w:sz w:val="24"/>
          <w:szCs w:val="24"/>
          <w:vertAlign w:val="baseline"/>
        </w:rPr>
      </w:pPr>
      <w:r w:rsidDel="00000000" w:rsidR="00000000" w:rsidRPr="00000000">
        <w:rPr>
          <w:sz w:val="24"/>
          <w:szCs w:val="24"/>
          <w:vertAlign w:val="baseline"/>
          <w:rtl w:val="0"/>
        </w:rPr>
        <w:t xml:space="preserve">Предвид горното, Комисията за противодействие на корупцията на основание чл. 92, ал. 1 и ал. 2 от ЗПК, във връзка с § 5, ал.1 и § 7, ал. 2 от ПЗР на ЗПК,</w:t>
      </w:r>
      <w:r w:rsidDel="00000000" w:rsidR="00000000" w:rsidRPr="00000000">
        <w:rPr>
          <w:rtl w:val="0"/>
        </w:rPr>
      </w:r>
    </w:p>
    <w:p w:rsidR="00000000" w:rsidDel="00000000" w:rsidP="00000000" w:rsidRDefault="00000000" w:rsidRPr="00000000" w14:paraId="00000085">
      <w:pPr>
        <w:tabs>
          <w:tab w:val="left" w:leader="none" w:pos="709"/>
        </w:tabs>
        <w:jc w:val="center"/>
        <w:rPr>
          <w:sz w:val="24"/>
          <w:szCs w:val="24"/>
          <w:vertAlign w:val="baseline"/>
        </w:rPr>
      </w:pPr>
      <w:r w:rsidDel="00000000" w:rsidR="00000000" w:rsidRPr="00000000">
        <w:rPr>
          <w:rtl w:val="0"/>
        </w:rPr>
      </w:r>
    </w:p>
    <w:p w:rsidR="00000000" w:rsidDel="00000000" w:rsidP="00000000" w:rsidRDefault="00000000" w:rsidRPr="00000000" w14:paraId="00000086">
      <w:pPr>
        <w:tabs>
          <w:tab w:val="left" w:leader="none" w:pos="709"/>
        </w:tabs>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87">
      <w:pPr>
        <w:tabs>
          <w:tab w:val="left" w:leader="none" w:pos="709"/>
        </w:tabs>
        <w:jc w:val="center"/>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88">
      <w:pPr>
        <w:tabs>
          <w:tab w:val="left" w:leader="none" w:pos="709"/>
        </w:tabs>
        <w:jc w:val="both"/>
        <w:rPr>
          <w:sz w:val="24"/>
          <w:szCs w:val="24"/>
          <w:vertAlign w:val="baseline"/>
        </w:rPr>
      </w:pPr>
      <w:r w:rsidDel="00000000" w:rsidR="00000000" w:rsidRPr="00000000">
        <w:rPr>
          <w:rtl w:val="0"/>
        </w:rPr>
      </w:r>
    </w:p>
    <w:p w:rsidR="00000000" w:rsidDel="00000000" w:rsidP="00000000" w:rsidRDefault="00000000" w:rsidRPr="00000000" w14:paraId="00000089">
      <w:pPr>
        <w:tabs>
          <w:tab w:val="left" w:leader="none" w:pos="709"/>
        </w:tabs>
        <w:ind w:firstLine="709"/>
        <w:jc w:val="both"/>
        <w:rPr>
          <w:sz w:val="24"/>
          <w:szCs w:val="24"/>
          <w:vertAlign w:val="baseline"/>
        </w:rPr>
      </w:pPr>
      <w:r w:rsidDel="00000000" w:rsidR="00000000" w:rsidRPr="00000000">
        <w:rPr>
          <w:b w:val="1"/>
          <w:bCs w:val="1"/>
          <w:sz w:val="24"/>
          <w:szCs w:val="24"/>
          <w:vertAlign w:val="baseline"/>
          <w:rtl w:val="0"/>
        </w:rPr>
        <w:t xml:space="preserve">НЕ УСТАНОВЯВА конфликт на интереси</w:t>
      </w:r>
      <w:r w:rsidDel="00000000" w:rsidR="00000000" w:rsidRPr="00000000">
        <w:rPr>
          <w:sz w:val="24"/>
          <w:szCs w:val="24"/>
          <w:vertAlign w:val="baseline"/>
          <w:rtl w:val="0"/>
        </w:rPr>
        <w:t xml:space="preserve"> по отношение на Делян *** Добрев, EГН ***, в качеството му на народен представител в 48-то Народно събрание и лице, заемащо публична длъжност по смисъла на чл. 6, ал. 1, т. 2 от ЗПК, във връзка с </w:t>
      </w:r>
      <w:r w:rsidDel="00000000" w:rsidR="00000000" w:rsidRPr="00000000">
        <w:rPr>
          <w:color w:val="000000"/>
          <w:sz w:val="24"/>
          <w:szCs w:val="24"/>
          <w:vertAlign w:val="baseline"/>
          <w:rtl w:val="0"/>
        </w:rPr>
        <w:t xml:space="preserve">внасянето на предложение за приемане на Решение, </w:t>
      </w:r>
      <w:r w:rsidDel="00000000" w:rsidR="00000000" w:rsidRPr="00000000">
        <w:rPr>
          <w:sz w:val="24"/>
          <w:szCs w:val="24"/>
          <w:vertAlign w:val="baseline"/>
          <w:rtl w:val="0"/>
        </w:rPr>
        <w:t xml:space="preserve">с което се задължава Министерския съвет да промени Плана за възстановяване и устойчивост в част „Енергетика“, както и с участието му в обсъждането и приемането на същото в Комисията по енергетика и в пленарна зала на 12.01.2023 г., поради липса на релевантен частен интерес - негов или на свързано с него лице. </w:t>
      </w:r>
    </w:p>
    <w:p w:rsidR="00000000" w:rsidDel="00000000" w:rsidP="00000000" w:rsidRDefault="00000000" w:rsidRPr="00000000" w14:paraId="0000008A">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8B">
      <w:pPr>
        <w:ind w:firstLine="720"/>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СГП, с оглед преценка за реализиране на правомощията ѝ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p>
    <w:p w:rsidR="00000000" w:rsidDel="00000000" w:rsidP="00000000" w:rsidRDefault="00000000" w:rsidRPr="00000000" w14:paraId="0000008C">
      <w:pPr>
        <w:tabs>
          <w:tab w:val="left" w:leader="none" w:pos="5400"/>
        </w:tabs>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8D">
      <w:pPr>
        <w:tabs>
          <w:tab w:val="left" w:leader="none" w:pos="5400"/>
        </w:tabs>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8E">
      <w:pPr>
        <w:tabs>
          <w:tab w:val="left" w:leader="none" w:pos="5400"/>
        </w:tabs>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8F">
      <w:pPr>
        <w:tabs>
          <w:tab w:val="left" w:leader="none" w:pos="5400"/>
        </w:tabs>
        <w:jc w:val="both"/>
        <w:rPr>
          <w:b w:val="0"/>
          <w:bCs w:val="0"/>
          <w:sz w:val="24"/>
          <w:szCs w:val="24"/>
          <w:vertAlign w:val="baseline"/>
        </w:rPr>
      </w:pPr>
      <w:r w:rsidDel="00000000" w:rsidR="00000000" w:rsidRPr="00000000">
        <w:rPr>
          <w:b w:val="1"/>
          <w:bCs w:val="1"/>
          <w:sz w:val="24"/>
          <w:szCs w:val="24"/>
          <w:vertAlign w:val="baseline"/>
          <w:rtl w:val="0"/>
        </w:rPr>
        <w:t xml:space="preserve">          КОМИСИЯ:</w:t>
      </w:r>
      <w:r w:rsidDel="00000000" w:rsidR="00000000" w:rsidRPr="00000000">
        <w:rPr>
          <w:rtl w:val="0"/>
        </w:rPr>
      </w:r>
    </w:p>
    <w:p w:rsidR="00000000" w:rsidDel="00000000" w:rsidP="00000000" w:rsidRDefault="00000000" w:rsidRPr="00000000" w14:paraId="00000090">
      <w:pPr>
        <w:tabs>
          <w:tab w:val="left" w:leader="none" w:pos="5400"/>
        </w:tabs>
        <w:ind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91">
      <w:pPr>
        <w:tabs>
          <w:tab w:val="left" w:leader="none" w:pos="5400"/>
        </w:tabs>
        <w:jc w:val="both"/>
        <w:rPr>
          <w:b w:val="0"/>
          <w:bCs w:val="0"/>
          <w:sz w:val="24"/>
          <w:szCs w:val="24"/>
          <w:vertAlign w:val="baseline"/>
        </w:rPr>
      </w:pPr>
      <w:r w:rsidDel="00000000" w:rsidR="00000000" w:rsidRPr="00000000">
        <w:rPr>
          <w:b w:val="1"/>
          <w:bCs w:val="1"/>
          <w:color w:val="ff0000"/>
          <w:sz w:val="24"/>
          <w:szCs w:val="24"/>
          <w:vertAlign w:val="baseline"/>
          <w:rtl w:val="0"/>
        </w:rPr>
        <w:t xml:space="preserve">          </w:t>
      </w:r>
      <w:r w:rsidDel="00000000" w:rsidR="00000000" w:rsidRPr="00000000">
        <w:rPr>
          <w:b w:val="1"/>
          <w:bCs w:val="1"/>
          <w:sz w:val="24"/>
          <w:szCs w:val="24"/>
          <w:vertAlign w:val="baseline"/>
          <w:rtl w:val="0"/>
        </w:rPr>
        <w:t xml:space="preserve">ЗАМЕСТНИК-ПРЕДСЕДАТЕЛ:………………………….../АНТОН СЛАВЧЕВ /</w:t>
      </w:r>
      <w:r w:rsidDel="00000000" w:rsidR="00000000" w:rsidRPr="00000000">
        <w:rPr>
          <w:rtl w:val="0"/>
        </w:rPr>
      </w:r>
    </w:p>
    <w:p w:rsidR="00000000" w:rsidDel="00000000" w:rsidP="00000000" w:rsidRDefault="00000000" w:rsidRPr="00000000" w14:paraId="00000092">
      <w:pPr>
        <w:tabs>
          <w:tab w:val="left" w:leader="none" w:pos="5400"/>
        </w:tabs>
        <w:ind w:firstLine="170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93">
      <w:pPr>
        <w:tabs>
          <w:tab w:val="left" w:leader="none" w:pos="5400"/>
        </w:tabs>
        <w:ind w:left="142" w:hanging="142"/>
        <w:jc w:val="both"/>
        <w:rPr>
          <w:b w:val="0"/>
          <w:bCs w:val="0"/>
          <w:sz w:val="24"/>
          <w:szCs w:val="24"/>
          <w:vertAlign w:val="baseline"/>
        </w:rPr>
      </w:pPr>
      <w:r w:rsidDel="00000000" w:rsidR="00000000" w:rsidRPr="00000000">
        <w:rPr>
          <w:b w:val="1"/>
          <w:bCs w:val="1"/>
          <w:sz w:val="24"/>
          <w:szCs w:val="24"/>
          <w:vertAlign w:val="baseline"/>
          <w:rtl w:val="0"/>
        </w:rPr>
        <w:t xml:space="preserve">          ЧЛЕН:…………………..………………………….….../АНТОАНЕТА ЦОНКОВА/</w:t>
      </w:r>
      <w:r w:rsidDel="00000000" w:rsidR="00000000" w:rsidRPr="00000000">
        <w:rPr>
          <w:rtl w:val="0"/>
        </w:rPr>
      </w:r>
    </w:p>
    <w:p w:rsidR="00000000" w:rsidDel="00000000" w:rsidP="00000000" w:rsidRDefault="00000000" w:rsidRPr="00000000" w14:paraId="00000094">
      <w:pPr>
        <w:tabs>
          <w:tab w:val="left" w:leader="none" w:pos="5400"/>
        </w:tabs>
        <w:ind w:firstLine="170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95">
      <w:pPr>
        <w:tabs>
          <w:tab w:val="left" w:leader="none" w:pos="1560"/>
          <w:tab w:val="left" w:leader="none" w:pos="1701"/>
          <w:tab w:val="left" w:leader="none" w:pos="5400"/>
        </w:tabs>
        <w:jc w:val="both"/>
        <w:rPr>
          <w:b w:val="0"/>
          <w:bCs w:val="0"/>
          <w:sz w:val="24"/>
          <w:szCs w:val="24"/>
          <w:vertAlign w:val="baseline"/>
        </w:rPr>
      </w:pPr>
      <w:r w:rsidDel="00000000" w:rsidR="00000000" w:rsidRPr="00000000">
        <w:rPr>
          <w:b w:val="1"/>
          <w:bCs w:val="1"/>
          <w:sz w:val="24"/>
          <w:szCs w:val="24"/>
          <w:vertAlign w:val="baseline"/>
          <w:rtl w:val="0"/>
        </w:rPr>
        <w:t xml:space="preserve">          ЧЛЕН:…………………………....……………...……………..../ПЛАМЕН ЙОЦОВ/</w:t>
      </w:r>
      <w:r w:rsidDel="00000000" w:rsidR="00000000" w:rsidRPr="00000000">
        <w:rPr>
          <w:rtl w:val="0"/>
        </w:rPr>
      </w:r>
    </w:p>
    <w:p w:rsidR="00000000" w:rsidDel="00000000" w:rsidP="00000000" w:rsidRDefault="00000000" w:rsidRPr="00000000" w14:paraId="00000096">
      <w:pPr>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97">
      <w:pPr>
        <w:tabs>
          <w:tab w:val="left" w:leader="none" w:pos="709"/>
          <w:tab w:val="left" w:leader="none" w:pos="851"/>
        </w:tabs>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98">
      <w:pPr>
        <w:tabs>
          <w:tab w:val="left" w:leader="none" w:pos="5400"/>
        </w:tabs>
        <w:spacing w:line="276" w:lineRule="auto"/>
        <w:ind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99">
      <w:pPr>
        <w:tabs>
          <w:tab w:val="left" w:leader="none" w:pos="5400"/>
        </w:tabs>
        <w:spacing w:line="276" w:lineRule="auto"/>
        <w:ind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9A">
      <w:pPr>
        <w:spacing w:line="276" w:lineRule="auto"/>
        <w:rPr>
          <w:sz w:val="16"/>
          <w:szCs w:val="16"/>
          <w:vertAlign w:val="baseline"/>
        </w:rPr>
      </w:pPr>
      <w:r w:rsidDel="00000000" w:rsidR="00000000" w:rsidRPr="00000000">
        <w:rPr>
          <w:rtl w:val="0"/>
        </w:rPr>
      </w:r>
    </w:p>
    <w:p w:rsidR="00000000" w:rsidDel="00000000" w:rsidP="00000000" w:rsidRDefault="00000000" w:rsidRPr="00000000" w14:paraId="0000009B">
      <w:pPr>
        <w:spacing w:line="276" w:lineRule="auto"/>
        <w:rPr>
          <w:sz w:val="16"/>
          <w:szCs w:val="16"/>
          <w:vertAlign w:val="baseline"/>
        </w:rPr>
      </w:pPr>
      <w:r w:rsidDel="00000000" w:rsidR="00000000" w:rsidRPr="00000000">
        <w:rPr>
          <w:rtl w:val="0"/>
        </w:rPr>
      </w:r>
    </w:p>
    <w:p w:rsidR="00000000" w:rsidDel="00000000" w:rsidP="00000000" w:rsidRDefault="00000000" w:rsidRPr="00000000" w14:paraId="0000009C">
      <w:pPr>
        <w:tabs>
          <w:tab w:val="left" w:leader="none" w:pos="5400"/>
        </w:tabs>
        <w:jc w:val="both"/>
        <w:rPr>
          <w:sz w:val="22"/>
          <w:szCs w:val="22"/>
          <w:vertAlign w:val="baseline"/>
        </w:rPr>
      </w:pPr>
      <w:r w:rsidDel="00000000" w:rsidR="00000000" w:rsidRPr="00000000">
        <w:rPr>
          <w:rtl w:val="0"/>
        </w:rPr>
      </w:r>
    </w:p>
    <w:p w:rsidR="00000000" w:rsidDel="00000000" w:rsidP="00000000" w:rsidRDefault="00000000" w:rsidRPr="00000000" w14:paraId="0000009D">
      <w:pPr>
        <w:tabs>
          <w:tab w:val="left" w:leader="none" w:pos="5400"/>
        </w:tabs>
        <w:jc w:val="both"/>
        <w:rPr>
          <w:sz w:val="22"/>
          <w:szCs w:val="22"/>
          <w:vertAlign w:val="baseline"/>
        </w:rPr>
      </w:pPr>
      <w:r w:rsidDel="00000000" w:rsidR="00000000" w:rsidRPr="00000000">
        <w:rPr>
          <w:rtl w:val="0"/>
        </w:rPr>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56" w:before="0" w:line="240" w:lineRule="auto"/>
        <w:ind w:left="20" w:right="20" w:firstLine="54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sectPr>
      <w:headerReference r:id="rId6" w:type="first"/>
      <w:footerReference r:id="rId7" w:type="default"/>
      <w:pgSz w:h="16834" w:w="11909" w:orient="portrait"/>
      <w:pgMar w:bottom="1276" w:top="1440" w:left="1080" w:right="1080"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Verdan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Име на документа                                                                                                                                               </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9532.0" w:type="dxa"/>
      <w:jc w:val="left"/>
      <w:tblInd w:w="-426.0" w:type="dxa"/>
      <w:tblLayout w:type="fixed"/>
      <w:tblLook w:val="0000"/>
    </w:tblPr>
    <w:tblGrid>
      <w:gridCol w:w="1135"/>
      <w:gridCol w:w="8397"/>
      <w:tblGridChange w:id="0">
        <w:tblGrid>
          <w:gridCol w:w="1135"/>
          <w:gridCol w:w="8397"/>
        </w:tblGrid>
      </w:tblGridChange>
    </w:tblGrid>
    <w:tr>
      <w:trPr>
        <w:cantSplit w:val="0"/>
        <w:tblHeader w:val="0"/>
      </w:trPr>
      <w:tc>
        <w:tcPr>
          <w:vAlign w:val="center"/>
        </w:tcPr>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523"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 Е П У Б Л И К А   Б Ъ Л Г А Р И Я</w:t>
          </w: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1523"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К О М И С И Я   З А   П Р О Т И В О Д Е Й С Т В И Е   Н А</w:t>
          </w:r>
          <w:r w:rsidDel="00000000" w:rsidR="00000000" w:rsidRPr="00000000">
            <w:rPr>
              <w:rtl w:val="0"/>
            </w:rPr>
          </w:r>
        </w:p>
        <w:p w:rsidR="00000000" w:rsidDel="00000000" w:rsidP="00000000" w:rsidRDefault="00000000" w:rsidRPr="00000000" w14:paraId="000000A3">
          <w:pPr>
            <w:pBdr>
              <w:bottom w:color="000000" w:space="1" w:sz="6" w:val="single"/>
            </w:pBdr>
            <w:tabs>
              <w:tab w:val="center" w:leader="none" w:pos="4153"/>
              <w:tab w:val="right" w:leader="none" w:pos="8306"/>
            </w:tabs>
            <w:spacing w:after="20" w:before="20" w:lineRule="auto"/>
            <w:ind w:left="-1523" w:firstLine="0"/>
            <w:jc w:val="center"/>
            <w:rPr>
              <w:b w:val="0"/>
              <w:bCs w:val="0"/>
              <w:sz w:val="24"/>
              <w:szCs w:val="24"/>
              <w:vertAlign w:val="baseline"/>
            </w:rPr>
          </w:pPr>
          <w:r w:rsidDel="00000000" w:rsidR="00000000" w:rsidRPr="00000000">
            <w:rPr>
              <w:b w:val="1"/>
              <w:bCs w:val="1"/>
              <w:sz w:val="24"/>
              <w:szCs w:val="24"/>
              <w:vertAlign w:val="baseline"/>
              <w:rtl w:val="0"/>
            </w:rPr>
            <w:t xml:space="preserve">                 К О Р У П Ц И Я Т А  </w:t>
          </w: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1523"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w:t>
          </w:r>
          <w:r w:rsidDel="00000000" w:rsidR="00000000" w:rsidRPr="00000000">
            <w:rPr>
              <w:rFonts w:ascii="Times New Roman" w:cs="Times New Roman" w:eastAsia="Times New Roman" w:hAnsi="Times New Roman"/>
              <w:b w:val="0"/>
              <w:bCs w:val="0"/>
              <w:i w:val="1"/>
              <w:iCs w:val="1"/>
              <w:smallCaps w:val="0"/>
              <w:strike w:val="0"/>
              <w:color w:val="000000"/>
              <w:sz w:val="16"/>
              <w:szCs w:val="16"/>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